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1B1E0" w14:textId="77777777" w:rsidR="0032377D" w:rsidRDefault="001A2781" w:rsidP="0050122D">
      <w:pPr>
        <w:jc w:val="center"/>
        <w:rPr>
          <w:rFonts w:ascii="Times New Roman" w:eastAsia="Calibri" w:hAnsi="Times New Roman" w:cs="Times New Roman"/>
          <w:b/>
          <w:bCs/>
          <w:kern w:val="0"/>
          <w:sz w:val="24"/>
          <w:szCs w:val="24"/>
          <w14:ligatures w14:val="none"/>
        </w:rPr>
      </w:pPr>
      <w:r w:rsidRPr="001A2781">
        <w:rPr>
          <w:rFonts w:ascii="Times New Roman" w:eastAsia="Calibri" w:hAnsi="Times New Roman" w:cs="Times New Roman"/>
          <w:b/>
          <w:bCs/>
          <w:kern w:val="0"/>
          <w:sz w:val="24"/>
          <w:szCs w:val="24"/>
          <w14:ligatures w14:val="none"/>
        </w:rPr>
        <w:t>Income Tax, Household Consumption in South Africa: A QARDL Approach</w:t>
      </w:r>
    </w:p>
    <w:p w14:paraId="13A0415E" w14:textId="30A7BBD8" w:rsidR="00DC2E4E" w:rsidRDefault="0050122D" w:rsidP="0050122D">
      <w:pPr>
        <w:jc w:val="center"/>
        <w:rPr>
          <w:rFonts w:ascii="Times New Roman" w:eastAsia="Calibri" w:hAnsi="Times New Roman" w:cs="Times New Roman"/>
          <w:b/>
          <w:bCs/>
          <w:kern w:val="0"/>
          <w:sz w:val="24"/>
          <w:szCs w:val="24"/>
          <w14:ligatures w14:val="none"/>
        </w:rPr>
      </w:pPr>
      <w:r w:rsidRPr="00F34561">
        <w:rPr>
          <w:rFonts w:ascii="Times New Roman" w:eastAsia="Calibri" w:hAnsi="Times New Roman" w:cs="Times New Roman"/>
          <w:b/>
          <w:bCs/>
          <w:kern w:val="0"/>
          <w:sz w:val="24"/>
          <w:szCs w:val="24"/>
          <w14:ligatures w14:val="none"/>
        </w:rPr>
        <w:t>Siyakudumisa Takentsi</w:t>
      </w:r>
      <w:r w:rsidR="00DC2E4E">
        <w:rPr>
          <w:rFonts w:ascii="Times New Roman" w:eastAsia="Calibri" w:hAnsi="Times New Roman" w:cs="Times New Roman"/>
          <w:b/>
          <w:bCs/>
          <w:kern w:val="0"/>
          <w:sz w:val="24"/>
          <w:szCs w:val="24"/>
          <w14:ligatures w14:val="none"/>
        </w:rPr>
        <w:t>*</w:t>
      </w:r>
    </w:p>
    <w:p w14:paraId="435F1464" w14:textId="600DFC98" w:rsidR="0050122D" w:rsidRPr="00F34561" w:rsidRDefault="0050122D" w:rsidP="0050122D">
      <w:pPr>
        <w:jc w:val="center"/>
        <w:rPr>
          <w:rFonts w:ascii="Times New Roman" w:eastAsia="Calibri" w:hAnsi="Times New Roman" w:cs="Times New Roman"/>
          <w:b/>
          <w:bCs/>
          <w:kern w:val="0"/>
          <w:sz w:val="24"/>
          <w:szCs w:val="24"/>
          <w14:ligatures w14:val="none"/>
        </w:rPr>
      </w:pPr>
      <w:r w:rsidRPr="00F34561">
        <w:rPr>
          <w:rFonts w:ascii="Times New Roman" w:eastAsia="Calibri" w:hAnsi="Times New Roman" w:cs="Times New Roman"/>
          <w:b/>
          <w:bCs/>
          <w:kern w:val="0"/>
          <w:sz w:val="24"/>
          <w:szCs w:val="24"/>
          <w14:ligatures w14:val="none"/>
        </w:rPr>
        <w:t>Gisele Mah</w:t>
      </w:r>
    </w:p>
    <w:p w14:paraId="319E22C9" w14:textId="6AC048BF" w:rsidR="0050122D" w:rsidRPr="0050122D" w:rsidRDefault="00DC2E4E" w:rsidP="0050122D">
      <w:pPr>
        <w:jc w:val="center"/>
        <w:rPr>
          <w:rFonts w:ascii="Times New Roman" w:eastAsia="Calibri" w:hAnsi="Times New Roman" w:cs="Times New Roman"/>
          <w:kern w:val="0"/>
          <w:sz w:val="24"/>
          <w:szCs w:val="24"/>
          <w14:ligatures w14:val="none"/>
        </w:rPr>
      </w:pPr>
      <w:r w:rsidRPr="00341039">
        <w:rPr>
          <w:rFonts w:ascii="Times New Roman" w:hAnsi="Times New Roman" w:cs="Times New Roman"/>
        </w:rPr>
        <w:t xml:space="preserve">Department of </w:t>
      </w:r>
      <w:r>
        <w:rPr>
          <w:rFonts w:ascii="Times New Roman" w:hAnsi="Times New Roman" w:cs="Times New Roman"/>
        </w:rPr>
        <w:t>Economic Sciences</w:t>
      </w:r>
      <w:r w:rsidRPr="00341039">
        <w:rPr>
          <w:rFonts w:ascii="Times New Roman" w:hAnsi="Times New Roman" w:cs="Times New Roman"/>
        </w:rPr>
        <w:t xml:space="preserve">, </w:t>
      </w:r>
      <w:r>
        <w:rPr>
          <w:rFonts w:ascii="Times New Roman" w:hAnsi="Times New Roman" w:cs="Times New Roman"/>
        </w:rPr>
        <w:t xml:space="preserve">North West </w:t>
      </w:r>
      <w:r w:rsidRPr="00341039">
        <w:rPr>
          <w:rFonts w:ascii="Times New Roman" w:hAnsi="Times New Roman" w:cs="Times New Roman"/>
        </w:rPr>
        <w:t>University, South Africa</w:t>
      </w:r>
      <w:r>
        <w:rPr>
          <w:rFonts w:ascii="Times New Roman" w:hAnsi="Times New Roman" w:cs="Times New Roman"/>
        </w:rPr>
        <w:t>.</w:t>
      </w:r>
      <w:r w:rsidRPr="00341039">
        <w:rPr>
          <w:rFonts w:ascii="Times New Roman" w:hAnsi="Times New Roman" w:cs="Times New Roman"/>
        </w:rPr>
        <w:t xml:space="preserve"> </w:t>
      </w:r>
      <w:r>
        <w:rPr>
          <w:rFonts w:ascii="Times New Roman" w:hAnsi="Times New Roman" w:cs="Times New Roman"/>
        </w:rPr>
        <w:t xml:space="preserve">Email: </w:t>
      </w:r>
      <w:hyperlink r:id="rId7" w:history="1">
        <w:r w:rsidRPr="00083991">
          <w:rPr>
            <w:rStyle w:val="Hyperlink"/>
            <w:rFonts w:ascii="Times New Roman" w:hAnsi="Times New Roman" w:cs="Times New Roman"/>
          </w:rPr>
          <w:t>stakentsi@gmail.com</w:t>
        </w:r>
      </w:hyperlink>
    </w:p>
    <w:p w14:paraId="3D2F838A" w14:textId="77777777" w:rsidR="00DC2E4E" w:rsidRDefault="00DC2E4E" w:rsidP="00DC2E4E">
      <w:pPr>
        <w:spacing w:after="0" w:line="240" w:lineRule="auto"/>
        <w:jc w:val="both"/>
        <w:rPr>
          <w:rFonts w:ascii="Times New Roman" w:eastAsia="Calibri" w:hAnsi="Times New Roman" w:cs="Times New Roman"/>
          <w:b/>
          <w:bCs/>
          <w:kern w:val="0"/>
          <w:sz w:val="24"/>
          <w:szCs w:val="24"/>
          <w14:ligatures w14:val="none"/>
        </w:rPr>
      </w:pPr>
    </w:p>
    <w:p w14:paraId="1AA9466C" w14:textId="2DDE1DF1" w:rsidR="0050122D" w:rsidRPr="0050122D" w:rsidRDefault="0050122D" w:rsidP="00DC2E4E">
      <w:pPr>
        <w:spacing w:after="0" w:line="240" w:lineRule="auto"/>
        <w:jc w:val="both"/>
        <w:rPr>
          <w:rFonts w:ascii="Times New Roman" w:eastAsia="Calibri" w:hAnsi="Times New Roman" w:cs="Times New Roman"/>
          <w:b/>
          <w:bCs/>
          <w:kern w:val="0"/>
          <w:sz w:val="24"/>
          <w:szCs w:val="24"/>
          <w14:ligatures w14:val="none"/>
        </w:rPr>
      </w:pPr>
      <w:r w:rsidRPr="0050122D">
        <w:rPr>
          <w:rFonts w:ascii="Times New Roman" w:eastAsia="Calibri" w:hAnsi="Times New Roman" w:cs="Times New Roman"/>
          <w:b/>
          <w:bCs/>
          <w:kern w:val="0"/>
          <w:sz w:val="24"/>
          <w:szCs w:val="24"/>
          <w14:ligatures w14:val="none"/>
        </w:rPr>
        <w:t>Abstract:</w:t>
      </w:r>
    </w:p>
    <w:p w14:paraId="6AFF690F" w14:textId="77777777" w:rsidR="0050122D" w:rsidRPr="0050122D" w:rsidRDefault="0050122D" w:rsidP="00DC2E4E">
      <w:pPr>
        <w:spacing w:after="0" w:line="240" w:lineRule="auto"/>
        <w:jc w:val="both"/>
        <w:rPr>
          <w:rFonts w:ascii="Times New Roman" w:eastAsia="Calibri" w:hAnsi="Times New Roman" w:cs="Times New Roman"/>
          <w:bCs/>
          <w:kern w:val="0"/>
          <w:sz w:val="24"/>
          <w:szCs w:val="24"/>
          <w14:ligatures w14:val="none"/>
        </w:rPr>
      </w:pPr>
      <w:r w:rsidRPr="0050122D">
        <w:rPr>
          <w:rFonts w:ascii="Times New Roman" w:eastAsia="Calibri" w:hAnsi="Times New Roman" w:cs="Times New Roman"/>
          <w:bCs/>
          <w:kern w:val="0"/>
          <w:sz w:val="24"/>
          <w:szCs w:val="24"/>
          <w14:ligatures w14:val="none"/>
        </w:rPr>
        <w:t>This study empirically investigates the effect of Pay As You Earn (PAYE) tax on household consumption in South Africa by employing the Quantile Autoregressive Distributed Lag (QARDL) model, using annual time series data from 1994 to 2023 obtained from the South African Reserve Bank (SARB). The QARDL analysis reveals that, in the long run, the PAYE tax is statistically insignificant across the lower, middle, and upper quantiles. However, household disposable income is statistically significant and positively associated with household consumption in all quantiles over the long run. In terms of unemployment, the results show that it is statistically insignificant in the lower quantiles (0.10 and 0.25), while it becomes statistically significant in the middle quantiles (0.40, 0.50, and 0.60), as well as in the 0.75 upper quantile, with a negative coefficient. However, in the 0.90 upper quantile, unemployment is statistically insignificant. In the short run, PAYE tax is statistically significant in the lower quantiles (0.10 and 0.25), middle quantiles (0.40, 0.50, and 0.60), and the 0.75 upper quantile. This implies that an increase in PAYE tax leads to a decrease in household consumption. In contrast, at the 0.90 upper quantile, PAYE tax is statistically insignificant. Based on these findings, the study recommends that the government should consider reducing PAYE tax for low- and middle-household consumers to boost short-run household consumption. Additionally, enhancing disposable income and reducing unemployment through targeted policies can support long-term consumption growth.</w:t>
      </w:r>
    </w:p>
    <w:p w14:paraId="636E5DC2" w14:textId="2E5DD944" w:rsidR="0050122D" w:rsidRDefault="0050122D" w:rsidP="00DC2E4E">
      <w:pPr>
        <w:spacing w:after="0" w:line="240" w:lineRule="auto"/>
        <w:jc w:val="both"/>
        <w:rPr>
          <w:rFonts w:ascii="Times New Roman" w:eastAsia="Calibri" w:hAnsi="Times New Roman" w:cs="Times New Roman"/>
          <w:bCs/>
          <w:kern w:val="0"/>
          <w:sz w:val="24"/>
          <w:szCs w:val="24"/>
          <w14:ligatures w14:val="none"/>
        </w:rPr>
      </w:pPr>
      <w:r w:rsidRPr="0050122D">
        <w:rPr>
          <w:rFonts w:ascii="Times New Roman" w:eastAsia="Calibri" w:hAnsi="Times New Roman" w:cs="Times New Roman"/>
          <w:b/>
          <w:kern w:val="0"/>
          <w:sz w:val="24"/>
          <w:szCs w:val="24"/>
          <w14:ligatures w14:val="none"/>
        </w:rPr>
        <w:t>Key</w:t>
      </w:r>
      <w:r w:rsidR="00F34561">
        <w:rPr>
          <w:rFonts w:ascii="Times New Roman" w:eastAsia="Calibri" w:hAnsi="Times New Roman" w:cs="Times New Roman"/>
          <w:b/>
          <w:kern w:val="0"/>
          <w:sz w:val="24"/>
          <w:szCs w:val="24"/>
          <w14:ligatures w14:val="none"/>
        </w:rPr>
        <w:t>word</w:t>
      </w:r>
      <w:r w:rsidRPr="0050122D">
        <w:rPr>
          <w:rFonts w:ascii="Times New Roman" w:eastAsia="Calibri" w:hAnsi="Times New Roman" w:cs="Times New Roman"/>
          <w:b/>
          <w:kern w:val="0"/>
          <w:sz w:val="24"/>
          <w:szCs w:val="24"/>
          <w14:ligatures w14:val="none"/>
        </w:rPr>
        <w:t>s:</w:t>
      </w:r>
      <w:r w:rsidRPr="0050122D">
        <w:rPr>
          <w:rFonts w:ascii="Times New Roman" w:eastAsia="Calibri" w:hAnsi="Times New Roman" w:cs="Times New Roman"/>
          <w:bCs/>
          <w:kern w:val="0"/>
          <w:sz w:val="24"/>
          <w:szCs w:val="24"/>
          <w14:ligatures w14:val="none"/>
        </w:rPr>
        <w:t xml:space="preserve"> Pay As You Earn Tax, Household Consumption, QARDL, South Africa. </w:t>
      </w:r>
    </w:p>
    <w:p w14:paraId="48138ECC" w14:textId="77777777" w:rsidR="00DC2E4E" w:rsidRPr="0050122D" w:rsidRDefault="00DC2E4E" w:rsidP="00DC2E4E">
      <w:pPr>
        <w:spacing w:after="0" w:line="240" w:lineRule="auto"/>
        <w:jc w:val="both"/>
        <w:rPr>
          <w:rFonts w:ascii="Times New Roman" w:eastAsia="Calibri" w:hAnsi="Times New Roman" w:cs="Times New Roman"/>
          <w:bCs/>
          <w:kern w:val="0"/>
          <w:sz w:val="24"/>
          <w:szCs w:val="24"/>
          <w14:ligatures w14:val="none"/>
        </w:rPr>
      </w:pPr>
    </w:p>
    <w:p w14:paraId="1C0FB851" w14:textId="09376D04" w:rsidR="0050122D" w:rsidRDefault="0050122D" w:rsidP="00DC2E4E">
      <w:pPr>
        <w:spacing w:after="0" w:line="240" w:lineRule="auto"/>
        <w:jc w:val="both"/>
        <w:rPr>
          <w:rFonts w:ascii="Times New Roman" w:eastAsia="Calibri" w:hAnsi="Times New Roman" w:cs="Times New Roman"/>
          <w:bCs/>
          <w:kern w:val="0"/>
          <w:sz w:val="24"/>
          <w:szCs w:val="24"/>
          <w14:ligatures w14:val="none"/>
        </w:rPr>
      </w:pPr>
      <w:r w:rsidRPr="0050122D">
        <w:rPr>
          <w:rFonts w:ascii="Times New Roman" w:eastAsia="Calibri" w:hAnsi="Times New Roman" w:cs="Times New Roman"/>
          <w:b/>
          <w:kern w:val="0"/>
          <w:sz w:val="24"/>
          <w:szCs w:val="24"/>
          <w14:ligatures w14:val="none"/>
        </w:rPr>
        <w:t xml:space="preserve">JEL </w:t>
      </w:r>
      <w:r w:rsidR="00F34561">
        <w:rPr>
          <w:rFonts w:ascii="Times New Roman" w:eastAsia="Calibri" w:hAnsi="Times New Roman" w:cs="Times New Roman"/>
          <w:b/>
          <w:kern w:val="0"/>
          <w:sz w:val="24"/>
          <w:szCs w:val="24"/>
          <w14:ligatures w14:val="none"/>
        </w:rPr>
        <w:t>C</w:t>
      </w:r>
      <w:r w:rsidRPr="0050122D">
        <w:rPr>
          <w:rFonts w:ascii="Times New Roman" w:eastAsia="Calibri" w:hAnsi="Times New Roman" w:cs="Times New Roman"/>
          <w:b/>
          <w:kern w:val="0"/>
          <w:sz w:val="24"/>
          <w:szCs w:val="24"/>
          <w14:ligatures w14:val="none"/>
        </w:rPr>
        <w:t>lassification</w:t>
      </w:r>
      <w:r w:rsidR="00F34561">
        <w:rPr>
          <w:rFonts w:ascii="Times New Roman" w:eastAsia="Calibri" w:hAnsi="Times New Roman" w:cs="Times New Roman"/>
          <w:b/>
          <w:kern w:val="0"/>
          <w:sz w:val="24"/>
          <w:szCs w:val="24"/>
          <w14:ligatures w14:val="none"/>
        </w:rPr>
        <w:t>s</w:t>
      </w:r>
      <w:r w:rsidRPr="0050122D">
        <w:rPr>
          <w:rFonts w:ascii="Times New Roman" w:eastAsia="Calibri" w:hAnsi="Times New Roman" w:cs="Times New Roman"/>
          <w:b/>
          <w:kern w:val="0"/>
          <w:sz w:val="24"/>
          <w:szCs w:val="24"/>
          <w14:ligatures w14:val="none"/>
        </w:rPr>
        <w:t>:</w:t>
      </w:r>
      <w:r w:rsidRPr="0050122D">
        <w:rPr>
          <w:rFonts w:ascii="Times New Roman" w:eastAsia="Calibri" w:hAnsi="Times New Roman" w:cs="Times New Roman"/>
          <w:bCs/>
          <w:kern w:val="0"/>
          <w:sz w:val="24"/>
          <w:szCs w:val="24"/>
          <w14:ligatures w14:val="none"/>
        </w:rPr>
        <w:t xml:space="preserve"> H 24, D 12, C 22</w:t>
      </w:r>
    </w:p>
    <w:p w14:paraId="497A5707" w14:textId="495FEC5E" w:rsidR="00DC2E4E" w:rsidRDefault="00DC2E4E" w:rsidP="00DC2E4E">
      <w:pPr>
        <w:spacing w:after="0" w:line="240" w:lineRule="auto"/>
        <w:jc w:val="both"/>
        <w:rPr>
          <w:rFonts w:ascii="Times New Roman" w:eastAsia="Calibri" w:hAnsi="Times New Roman" w:cs="Times New Roman"/>
          <w:kern w:val="0"/>
          <w:sz w:val="24"/>
          <w:szCs w:val="24"/>
          <w14:ligatures w14:val="none"/>
        </w:rPr>
      </w:pPr>
      <w:r w:rsidRPr="00DC2E4E">
        <w:rPr>
          <w:rFonts w:ascii="Times New Roman" w:eastAsia="Calibri" w:hAnsi="Times New Roman" w:cs="Times New Roman"/>
          <w:kern w:val="0"/>
          <w:sz w:val="24"/>
          <w:szCs w:val="24"/>
          <w:lang w:val="en"/>
          <w14:ligatures w14:val="none"/>
        </w:rPr>
        <w:t xml:space="preserve">Received: </w:t>
      </w:r>
      <w:r>
        <w:rPr>
          <w:rFonts w:ascii="Times New Roman" w:eastAsia="Calibri" w:hAnsi="Times New Roman" w:cs="Times New Roman"/>
          <w:kern w:val="0"/>
          <w:sz w:val="24"/>
          <w:szCs w:val="24"/>
          <w:lang w:val="en"/>
          <w14:ligatures w14:val="none"/>
        </w:rPr>
        <w:t>03</w:t>
      </w:r>
      <w:r w:rsidRPr="00DC2E4E">
        <w:rPr>
          <w:rFonts w:ascii="Times New Roman" w:eastAsia="Calibri" w:hAnsi="Times New Roman" w:cs="Times New Roman"/>
          <w:kern w:val="0"/>
          <w:sz w:val="24"/>
          <w:szCs w:val="24"/>
          <w:lang w:val="en"/>
          <w14:ligatures w14:val="none"/>
        </w:rPr>
        <w:t>/0</w:t>
      </w:r>
      <w:r>
        <w:rPr>
          <w:rFonts w:ascii="Times New Roman" w:eastAsia="Calibri" w:hAnsi="Times New Roman" w:cs="Times New Roman"/>
          <w:kern w:val="0"/>
          <w:sz w:val="24"/>
          <w:szCs w:val="24"/>
          <w:lang w:val="en"/>
          <w14:ligatures w14:val="none"/>
        </w:rPr>
        <w:t>6</w:t>
      </w:r>
      <w:r w:rsidRPr="00DC2E4E">
        <w:rPr>
          <w:rFonts w:ascii="Times New Roman" w:eastAsia="Calibri" w:hAnsi="Times New Roman" w:cs="Times New Roman"/>
          <w:kern w:val="0"/>
          <w:sz w:val="24"/>
          <w:szCs w:val="24"/>
          <w:lang w:val="en"/>
          <w14:ligatures w14:val="none"/>
        </w:rPr>
        <w:t>/2025    Accepted: 1</w:t>
      </w:r>
      <w:r>
        <w:rPr>
          <w:rFonts w:ascii="Times New Roman" w:eastAsia="Calibri" w:hAnsi="Times New Roman" w:cs="Times New Roman"/>
          <w:kern w:val="0"/>
          <w:sz w:val="24"/>
          <w:szCs w:val="24"/>
          <w:lang w:val="en"/>
          <w14:ligatures w14:val="none"/>
        </w:rPr>
        <w:t>8</w:t>
      </w:r>
      <w:r w:rsidRPr="00DC2E4E">
        <w:rPr>
          <w:rFonts w:ascii="Times New Roman" w:eastAsia="Calibri" w:hAnsi="Times New Roman" w:cs="Times New Roman"/>
          <w:kern w:val="0"/>
          <w:sz w:val="24"/>
          <w:szCs w:val="24"/>
          <w:lang w:val="en"/>
          <w14:ligatures w14:val="none"/>
        </w:rPr>
        <w:t xml:space="preserve">/09/2025    DOI: </w:t>
      </w:r>
      <w:hyperlink r:id="rId8" w:history="1">
        <w:r w:rsidRPr="00DC2E4E">
          <w:rPr>
            <w:rStyle w:val="Hyperlink"/>
            <w:rFonts w:ascii="Times New Roman" w:eastAsia="Calibri" w:hAnsi="Times New Roman" w:cs="Times New Roman"/>
            <w:kern w:val="0"/>
            <w:sz w:val="24"/>
            <w:szCs w:val="24"/>
            <w:lang w:val="en"/>
            <w14:ligatures w14:val="none"/>
          </w:rPr>
          <w:t>https://doi.org/10.32479/ijefi.</w:t>
        </w:r>
        <w:r w:rsidRPr="00083991">
          <w:rPr>
            <w:rStyle w:val="Hyperlink"/>
            <w:rFonts w:ascii="Times New Roman" w:eastAsia="Calibri" w:hAnsi="Times New Roman" w:cs="Times New Roman"/>
            <w:kern w:val="0"/>
            <w:sz w:val="24"/>
            <w:szCs w:val="24"/>
            <w:lang w:val="en"/>
            <w14:ligatures w14:val="none"/>
          </w:rPr>
          <w:t>21102</w:t>
        </w:r>
      </w:hyperlink>
    </w:p>
    <w:p w14:paraId="221EB0ED" w14:textId="77777777" w:rsidR="0050122D" w:rsidRPr="0050122D" w:rsidRDefault="0050122D" w:rsidP="00DC2E4E">
      <w:pPr>
        <w:spacing w:after="0" w:line="240" w:lineRule="auto"/>
        <w:jc w:val="both"/>
        <w:rPr>
          <w:rFonts w:ascii="Times New Roman" w:eastAsia="Calibri" w:hAnsi="Times New Roman" w:cs="Times New Roman"/>
          <w:bCs/>
          <w:kern w:val="0"/>
          <w:sz w:val="24"/>
          <w:szCs w:val="24"/>
          <w14:ligatures w14:val="none"/>
        </w:rPr>
      </w:pPr>
    </w:p>
    <w:p w14:paraId="0E76421A" w14:textId="77777777" w:rsidR="0050122D" w:rsidRDefault="0050122D" w:rsidP="0050122D">
      <w:pPr>
        <w:spacing w:line="360" w:lineRule="auto"/>
        <w:jc w:val="both"/>
        <w:rPr>
          <w:rFonts w:ascii="Times New Roman" w:eastAsia="Calibri" w:hAnsi="Times New Roman" w:cs="Times New Roman"/>
          <w:bCs/>
          <w:kern w:val="0"/>
          <w:sz w:val="24"/>
          <w:szCs w:val="24"/>
          <w14:ligatures w14:val="none"/>
        </w:rPr>
      </w:pPr>
    </w:p>
    <w:p w14:paraId="28DE89FF" w14:textId="77777777" w:rsidR="00D0787E" w:rsidRPr="0050122D" w:rsidRDefault="00D0787E" w:rsidP="0050122D">
      <w:pPr>
        <w:spacing w:line="360" w:lineRule="auto"/>
        <w:jc w:val="both"/>
        <w:rPr>
          <w:rFonts w:ascii="Times New Roman" w:eastAsia="Calibri" w:hAnsi="Times New Roman" w:cs="Times New Roman"/>
          <w:bCs/>
          <w:kern w:val="0"/>
          <w:sz w:val="24"/>
          <w:szCs w:val="24"/>
          <w14:ligatures w14:val="none"/>
        </w:rPr>
      </w:pPr>
    </w:p>
    <w:p w14:paraId="4EDC9396" w14:textId="77777777" w:rsidR="0050122D" w:rsidRPr="0050122D" w:rsidRDefault="0050122D" w:rsidP="0050122D">
      <w:pPr>
        <w:spacing w:line="360" w:lineRule="auto"/>
        <w:jc w:val="both"/>
        <w:rPr>
          <w:rFonts w:ascii="Times New Roman" w:eastAsia="Calibri" w:hAnsi="Times New Roman" w:cs="Times New Roman"/>
          <w:bCs/>
          <w:kern w:val="0"/>
          <w:sz w:val="24"/>
          <w:szCs w:val="24"/>
          <w14:ligatures w14:val="none"/>
        </w:rPr>
      </w:pPr>
    </w:p>
    <w:p w14:paraId="7F16C13F" w14:textId="56703D6E" w:rsidR="0050122D" w:rsidRPr="0050122D" w:rsidRDefault="0050122D" w:rsidP="0050122D">
      <w:pPr>
        <w:numPr>
          <w:ilvl w:val="0"/>
          <w:numId w:val="2"/>
        </w:numPr>
        <w:spacing w:line="360" w:lineRule="auto"/>
        <w:ind w:left="284" w:hanging="218"/>
        <w:contextualSpacing/>
        <w:jc w:val="both"/>
        <w:rPr>
          <w:rFonts w:ascii="Times New Roman" w:eastAsia="Calibri" w:hAnsi="Times New Roman" w:cs="Times New Roman"/>
          <w:bCs/>
          <w:kern w:val="0"/>
          <w:sz w:val="24"/>
          <w:szCs w:val="24"/>
          <w14:ligatures w14:val="none"/>
        </w:rPr>
      </w:pPr>
      <w:r w:rsidRPr="0050122D">
        <w:rPr>
          <w:rFonts w:ascii="Times New Roman" w:eastAsia="Calibri" w:hAnsi="Times New Roman" w:cs="Times New Roman"/>
          <w:b/>
          <w:bCs/>
          <w:kern w:val="0"/>
          <w:sz w:val="24"/>
          <w:szCs w:val="24"/>
          <w14:ligatures w14:val="none"/>
        </w:rPr>
        <w:lastRenderedPageBreak/>
        <w:t xml:space="preserve">Introduction </w:t>
      </w:r>
    </w:p>
    <w:p w14:paraId="27009356" w14:textId="77777777" w:rsidR="0050122D" w:rsidRPr="0050122D" w:rsidRDefault="0050122D" w:rsidP="0050122D">
      <w:pPr>
        <w:spacing w:line="360" w:lineRule="auto"/>
        <w:jc w:val="both"/>
        <w:rPr>
          <w:rFonts w:ascii="Times New Roman" w:eastAsia="Calibri" w:hAnsi="Times New Roman" w:cs="Times New Roman"/>
          <w:bCs/>
          <w:iCs/>
          <w:kern w:val="0"/>
          <w:sz w:val="24"/>
          <w:szCs w:val="24"/>
          <w14:ligatures w14:val="none"/>
        </w:rPr>
      </w:pPr>
      <w:r w:rsidRPr="0050122D">
        <w:rPr>
          <w:rFonts w:ascii="Times New Roman" w:eastAsia="Calibri" w:hAnsi="Times New Roman" w:cs="Times New Roman"/>
          <w:bCs/>
          <w:iCs/>
          <w:kern w:val="0"/>
          <w:sz w:val="24"/>
          <w:szCs w:val="24"/>
          <w14:ligatures w14:val="none"/>
        </w:rPr>
        <w:t>The relationship between income tax and household consumption is particularly relevant in the context of South Africa's post-pandemic recovery and ongoing fiscal policy debates.</w:t>
      </w:r>
      <w:r w:rsidRPr="0050122D">
        <w:rPr>
          <w:rFonts w:ascii="Calibri" w:eastAsia="Calibri" w:hAnsi="Calibri" w:cs="Times New Roman"/>
          <w:kern w:val="0"/>
          <w14:ligatures w14:val="none"/>
        </w:rPr>
        <w:t xml:space="preserve"> </w:t>
      </w:r>
      <w:r w:rsidRPr="0050122D">
        <w:rPr>
          <w:rFonts w:ascii="Times New Roman" w:eastAsia="Calibri" w:hAnsi="Times New Roman" w:cs="Times New Roman"/>
          <w:bCs/>
          <w:iCs/>
          <w:kern w:val="0"/>
          <w:sz w:val="24"/>
          <w:szCs w:val="24"/>
          <w14:ligatures w14:val="none"/>
        </w:rPr>
        <w:t xml:space="preserve">As the government seeks to rebuild the economy and address widening fiscal deficits, decisions around tax policy have direct implications for consumer spending and overall economic growth (IMF, 2021; World Bank, 2022). Income tax, in particular, plays a crucial role in shaping disposable income levels, which in turn influence household consumption patterns (Modigliani &amp; Brumberg, 1954; Aron &amp; Muellbauer, 2006; Hindls </w:t>
      </w:r>
      <w:r w:rsidRPr="0050122D">
        <w:rPr>
          <w:rFonts w:ascii="Times New Roman" w:eastAsia="Calibri" w:hAnsi="Times New Roman" w:cs="Times New Roman"/>
          <w:bCs/>
          <w:i/>
          <w:kern w:val="0"/>
          <w:sz w:val="24"/>
          <w:szCs w:val="24"/>
          <w14:ligatures w14:val="none"/>
        </w:rPr>
        <w:t>et al.,</w:t>
      </w:r>
      <w:r w:rsidRPr="0050122D">
        <w:rPr>
          <w:rFonts w:ascii="Times New Roman" w:eastAsia="Calibri" w:hAnsi="Times New Roman" w:cs="Times New Roman"/>
          <w:bCs/>
          <w:iCs/>
          <w:kern w:val="0"/>
          <w:sz w:val="24"/>
          <w:szCs w:val="24"/>
          <w14:ligatures w14:val="none"/>
        </w:rPr>
        <w:t xml:space="preserve"> 2022). Understanding this relationship is essential for designing policies that strike a balance between revenue generation and economic stimulation (OECD, 2021). In a country where inequality and unemployment remain pressing challenges, evaluating the impact of income tax on consumption can help inform more inclusive and effective fiscal strategies (Statistics South Africa, 2023; Bhorat </w:t>
      </w:r>
      <w:r w:rsidRPr="0050122D">
        <w:rPr>
          <w:rFonts w:ascii="Times New Roman" w:eastAsia="Calibri" w:hAnsi="Times New Roman" w:cs="Times New Roman"/>
          <w:bCs/>
          <w:i/>
          <w:kern w:val="0"/>
          <w:sz w:val="24"/>
          <w:szCs w:val="24"/>
          <w14:ligatures w14:val="none"/>
        </w:rPr>
        <w:t>et al.,</w:t>
      </w:r>
      <w:r w:rsidRPr="0050122D">
        <w:rPr>
          <w:rFonts w:ascii="Times New Roman" w:eastAsia="Calibri" w:hAnsi="Times New Roman" w:cs="Times New Roman"/>
          <w:bCs/>
          <w:iCs/>
          <w:kern w:val="0"/>
          <w:sz w:val="24"/>
          <w:szCs w:val="24"/>
          <w14:ligatures w14:val="none"/>
        </w:rPr>
        <w:t xml:space="preserve"> 2021).</w:t>
      </w:r>
    </w:p>
    <w:p w14:paraId="5C21110C" w14:textId="77777777" w:rsidR="0050122D" w:rsidRPr="0050122D" w:rsidRDefault="0050122D" w:rsidP="0050122D">
      <w:pPr>
        <w:spacing w:line="360" w:lineRule="auto"/>
        <w:jc w:val="both"/>
        <w:rPr>
          <w:rFonts w:ascii="Times New Roman" w:eastAsia="Calibri" w:hAnsi="Times New Roman" w:cs="Times New Roman"/>
          <w:bCs/>
          <w:iCs/>
          <w:kern w:val="0"/>
          <w:sz w:val="24"/>
          <w:szCs w:val="24"/>
          <w14:ligatures w14:val="none"/>
        </w:rPr>
      </w:pPr>
      <w:r w:rsidRPr="0050122D">
        <w:rPr>
          <w:rFonts w:ascii="Times New Roman" w:eastAsia="Calibri" w:hAnsi="Times New Roman" w:cs="Times New Roman"/>
          <w:bCs/>
          <w:iCs/>
          <w:kern w:val="0"/>
          <w:sz w:val="24"/>
          <w:szCs w:val="24"/>
          <w14:ligatures w14:val="none"/>
        </w:rPr>
        <w:t>This study focuses on the Pay As You Earn (PAYE) tax, which serves as a proxy for income tax. In South Africa, during the 1996/97 financial year, salaries were expected to rise across the economy. However, PAYE tax collections were projected to fall R335 million short of the budgeted amount (SARB, 2022). This shortfall was attributed to declining employment levels, which led to lower PAYE collections. In addition, efficient assessment processing by SARS resulted in increased refund payments.</w:t>
      </w:r>
    </w:p>
    <w:p w14:paraId="7B97EC25" w14:textId="77777777" w:rsidR="0050122D" w:rsidRPr="0050122D" w:rsidRDefault="0050122D" w:rsidP="0050122D">
      <w:pPr>
        <w:spacing w:line="360" w:lineRule="auto"/>
        <w:jc w:val="both"/>
        <w:rPr>
          <w:rFonts w:ascii="Times New Roman" w:eastAsia="Calibri" w:hAnsi="Times New Roman" w:cs="Times New Roman"/>
          <w:bCs/>
          <w:iCs/>
          <w:kern w:val="0"/>
          <w:sz w:val="24"/>
          <w:szCs w:val="24"/>
          <w14:ligatures w14:val="none"/>
        </w:rPr>
      </w:pPr>
      <w:r w:rsidRPr="0050122D">
        <w:rPr>
          <w:rFonts w:ascii="Times New Roman" w:eastAsia="Calibri" w:hAnsi="Times New Roman" w:cs="Times New Roman"/>
          <w:bCs/>
          <w:iCs/>
          <w:kern w:val="0"/>
          <w:sz w:val="24"/>
          <w:szCs w:val="24"/>
          <w14:ligatures w14:val="none"/>
        </w:rPr>
        <w:t xml:space="preserve">Meanwhile, PAYE tax rates continued to rise. In 2014/15, the second income tax bracket was set at 25%, increasing to 26% in 2015/16 (SARS, 2022). The rate in the third bracket rose from 30% in 2014/15 to 31% in 2015/16 (SARS, 2022). In the fourth bracket, the rate increased from 35% in 2014/15 to 36% in 2015/16 (SARS, 2022). The fifth bracket rose from 38% in 2014/15 to 39% in 2016/17 (SARS, 2022). The sixth bracket increased from 40% in 2014/15 to 41% in 2016/17 (SARS, 2022). In 2017/18, the South African government introduced a seventh bracket with a high tax rate of 45% (SARS, 2022). This continuous rise in the rates of PAYE tax resulted to a decline in household consumption. </w:t>
      </w:r>
    </w:p>
    <w:p w14:paraId="0E4B5223" w14:textId="77777777" w:rsidR="0050122D" w:rsidRPr="0050122D" w:rsidRDefault="0050122D" w:rsidP="0050122D">
      <w:pPr>
        <w:spacing w:line="360" w:lineRule="auto"/>
        <w:jc w:val="both"/>
        <w:rPr>
          <w:rFonts w:ascii="Times New Roman" w:eastAsia="Calibri" w:hAnsi="Times New Roman" w:cs="Times New Roman"/>
          <w:bCs/>
          <w:iCs/>
          <w:kern w:val="0"/>
          <w:sz w:val="24"/>
          <w:szCs w:val="24"/>
          <w14:ligatures w14:val="none"/>
        </w:rPr>
      </w:pPr>
      <w:r w:rsidRPr="0050122D">
        <w:rPr>
          <w:rFonts w:ascii="Times New Roman" w:eastAsia="Calibri" w:hAnsi="Times New Roman" w:cs="Times New Roman"/>
          <w:bCs/>
          <w:iCs/>
          <w:kern w:val="0"/>
          <w:sz w:val="24"/>
          <w:szCs w:val="24"/>
          <w14:ligatures w14:val="none"/>
        </w:rPr>
        <w:t>In 2011, household consumption decreased from 4.1% to 2.2% in 2015 (SARB, 2024). Household consumption declined from 2.2% in 2015 to 1.7% in 2017 (SARB, 2024). In 2017, it was 1.7%, and it went down to 1.3% in 2019, followed by a decline of 0.6% between 2019 and 2023 (SARB, 2024). This continued decline in household consumption is a major concern for the South African economy. Hence, this study aims to examine the potential differential effects of PAYE tax across different levels of household consumption.</w:t>
      </w:r>
    </w:p>
    <w:p w14:paraId="7A9AC494" w14:textId="77777777" w:rsidR="0050122D" w:rsidRPr="0050122D" w:rsidRDefault="0050122D" w:rsidP="0050122D">
      <w:pPr>
        <w:spacing w:before="240" w:line="360" w:lineRule="auto"/>
        <w:jc w:val="both"/>
        <w:rPr>
          <w:rFonts w:ascii="Times New Roman" w:eastAsia="Calibri" w:hAnsi="Times New Roman" w:cs="Times New Roman"/>
          <w:bCs/>
          <w:iCs/>
          <w:kern w:val="0"/>
          <w:sz w:val="24"/>
          <w:szCs w:val="24"/>
          <w14:ligatures w14:val="none"/>
        </w:rPr>
      </w:pPr>
      <w:r w:rsidRPr="0050122D">
        <w:rPr>
          <w:rFonts w:ascii="Times New Roman" w:eastAsia="Calibri" w:hAnsi="Times New Roman" w:cs="Times New Roman"/>
          <w:bCs/>
          <w:iCs/>
          <w:kern w:val="0"/>
          <w:sz w:val="24"/>
          <w:szCs w:val="24"/>
          <w14:ligatures w14:val="none"/>
        </w:rPr>
        <w:lastRenderedPageBreak/>
        <w:t>This study makes several key contributions to the existing literature. First, it is among the pioneering efforts to employ the Quantile Autoregressive Distributed Lag (QARDL) model to examine the relationship between PAYE tax and household consumption in South Africa. By doing so, it captures the heterogeneous effects of PAYE tax across the consumption distribution providing a more nuanced understanding of how low, middle, and high consuming households respond to changes in tax policy. Second, the study offers timely empirical evidence in the context of South Africa’s post-pandemic recovery and ongoing structural challenges such as inequality and unemployment. The findings contribute to policy debates by highlighting the need for more inclusive and equitable fiscal strategies that do not disproportionately impact vulnerable households. Finally, by focusing on a period of significant shifts in PAYE tax rates and consumption trends, the study deepens our understanding of the long-term implications of tax policy on household behaviour. This enhances its relevance for current and future efforts to design tax systems that balance revenue generation with social equity.</w:t>
      </w:r>
    </w:p>
    <w:p w14:paraId="1E7466FE" w14:textId="3464F467" w:rsidR="0050122D" w:rsidRPr="0050122D" w:rsidRDefault="0050122D" w:rsidP="0050122D">
      <w:pPr>
        <w:spacing w:before="240" w:line="360" w:lineRule="auto"/>
        <w:jc w:val="both"/>
        <w:rPr>
          <w:rFonts w:ascii="Times New Roman" w:eastAsia="Calibri" w:hAnsi="Times New Roman" w:cs="Times New Roman"/>
          <w:b/>
          <w:bCs/>
          <w:kern w:val="0"/>
          <w:sz w:val="24"/>
          <w:szCs w:val="24"/>
          <w14:ligatures w14:val="none"/>
        </w:rPr>
      </w:pPr>
      <w:r w:rsidRPr="0050122D">
        <w:rPr>
          <w:rFonts w:ascii="Times New Roman" w:eastAsia="Calibri" w:hAnsi="Times New Roman" w:cs="Times New Roman"/>
          <w:b/>
          <w:bCs/>
          <w:kern w:val="0"/>
          <w:sz w:val="24"/>
          <w:szCs w:val="24"/>
          <w14:ligatures w14:val="none"/>
        </w:rPr>
        <w:t xml:space="preserve">2. Theoretical Literature </w:t>
      </w:r>
      <w:r w:rsidR="002D3516">
        <w:rPr>
          <w:rFonts w:ascii="Times New Roman" w:eastAsia="Calibri" w:hAnsi="Times New Roman" w:cs="Times New Roman"/>
          <w:b/>
          <w:bCs/>
          <w:kern w:val="0"/>
          <w:sz w:val="24"/>
          <w:szCs w:val="24"/>
          <w14:ligatures w14:val="none"/>
        </w:rPr>
        <w:t xml:space="preserve">and Empirical </w:t>
      </w:r>
      <w:r w:rsidRPr="0050122D">
        <w:rPr>
          <w:rFonts w:ascii="Times New Roman" w:eastAsia="Calibri" w:hAnsi="Times New Roman" w:cs="Times New Roman"/>
          <w:b/>
          <w:bCs/>
          <w:kern w:val="0"/>
          <w:sz w:val="24"/>
          <w:szCs w:val="24"/>
          <w14:ligatures w14:val="none"/>
        </w:rPr>
        <w:t>Review</w:t>
      </w:r>
    </w:p>
    <w:p w14:paraId="729FD03F" w14:textId="77777777" w:rsidR="0050122D" w:rsidRPr="0050122D" w:rsidRDefault="0050122D" w:rsidP="0050122D">
      <w:pPr>
        <w:spacing w:after="0" w:line="360" w:lineRule="auto"/>
        <w:jc w:val="both"/>
        <w:rPr>
          <w:rFonts w:ascii="Times New Roman" w:eastAsia="Calibri" w:hAnsi="Times New Roman" w:cs="Times New Roman"/>
          <w:kern w:val="0"/>
          <w:sz w:val="24"/>
          <w:szCs w:val="24"/>
          <w14:ligatures w14:val="none"/>
        </w:rPr>
      </w:pPr>
      <w:r w:rsidRPr="0050122D">
        <w:rPr>
          <w:rFonts w:ascii="Times New Roman" w:eastAsia="Calibri" w:hAnsi="Times New Roman" w:cs="Times New Roman"/>
          <w:kern w:val="0"/>
          <w:sz w:val="24"/>
          <w:szCs w:val="24"/>
          <w14:ligatures w14:val="none"/>
        </w:rPr>
        <w:t>The literature review explores three key theories regarding the relationship between taxation and household consumption. The literature review examines three key theories concerning the relationship between taxation and household consumption. The first is the Permanent Income Hypothesis (PIH): proposed by Milton Friedman, the PIH suggests that individuals base their consumption decisions on expected long-term income rather than current income levels. As a result, only permanent changes in taxation such as sustained adjustments in PAYE tax are likely to significantly influence consumption behaviour (Friedman, 1957; Attanasio &amp; Pavoni, 2021). The second is the Life-Cycle Hypothesis (LCH): developed by Modigliani and Brumberg, the LCH posits that individuals plan their consumption and savings over their entire lifetime, aiming to smooth consumption across different periods. PAYE tax policies can affect this intertemporal allocation by altering disposable income during prime working years, thereby influencing long-term consumption planning (Modigliani &amp; Brumberg, 1954; Kaplan &amp; Violante, 2022). Lastly, the Keynesian Consumption Theory: rooted in the work of John Maynard Keynes, this theory argues that current consumption is primarily driven by current disposable income. Consequently, increases in PAYE tax reduce disposable income, leading to a decline in household consumption particularly among lower-income households with higher marginal propensities to consume (Keynes, 1936; Ganong &amp; Noel, 2022).</w:t>
      </w:r>
    </w:p>
    <w:p w14:paraId="78050701" w14:textId="77777777" w:rsidR="0050122D" w:rsidRPr="0050122D" w:rsidRDefault="0050122D" w:rsidP="0050122D">
      <w:pPr>
        <w:spacing w:after="0" w:line="360" w:lineRule="auto"/>
        <w:jc w:val="both"/>
        <w:rPr>
          <w:rFonts w:ascii="Times New Roman" w:eastAsia="Calibri" w:hAnsi="Times New Roman" w:cs="Times New Roman"/>
          <w:kern w:val="0"/>
          <w:sz w:val="24"/>
          <w:szCs w:val="24"/>
          <w14:ligatures w14:val="none"/>
        </w:rPr>
      </w:pPr>
    </w:p>
    <w:p w14:paraId="1E6639FE" w14:textId="66D6D7A7" w:rsidR="0050122D" w:rsidRPr="0050122D" w:rsidRDefault="0050122D" w:rsidP="0050122D">
      <w:pPr>
        <w:spacing w:line="360" w:lineRule="auto"/>
        <w:jc w:val="both"/>
        <w:rPr>
          <w:rFonts w:ascii="Times New Roman" w:eastAsia="Times New Roman" w:hAnsi="Times New Roman" w:cs="Times New Roman"/>
          <w:kern w:val="0"/>
          <w:sz w:val="24"/>
          <w:szCs w:val="20"/>
          <w14:ligatures w14:val="none"/>
        </w:rPr>
      </w:pPr>
      <w:r w:rsidRPr="0050122D">
        <w:rPr>
          <w:rFonts w:ascii="Times New Roman" w:eastAsia="Times New Roman" w:hAnsi="Times New Roman" w:cs="Times New Roman"/>
          <w:kern w:val="0"/>
          <w:sz w:val="24"/>
          <w:szCs w:val="20"/>
          <w14:ligatures w14:val="none"/>
        </w:rPr>
        <w:t>A number of scholars have reviewed the context of the relationship between income tax and household consumption. Zhang (2021) found that in China, income tax reform can significantly boost consumption. Zhang (2021) examined the effect of individual income tax reform on residents' consumption. Based on the review of the literature the focus was income tax reform to improve the threshold level in 2018. Furthermore, Chen and Ni (2023) employed heterogeneity analysis to capture the link between tax structure, tax salience, and consumption gap, between urban and rural residents in China, from 2002 to 2020. According to the study's findings, income tax can better reduce the consumption gap between urban and rural residents. Shiqiang and Yujia (2023) suggested that taxes on income have a positive effect on consumption. Shiqiang and Yujia (2023) used the individual consumption model and provincial-level panel data to empirically investigate the influence of tax regulation on private consumption in China with reference to Zhang (2017), who studied the impact of personal income tax on the structure of residents’ consumption expenditure. To conduct the corresponding analysis Engel’s coefficient was used to test this prediction over the period 1999 to 2012. The findings of the study provided evidence that income tax harms household consumption.</w:t>
      </w:r>
    </w:p>
    <w:p w14:paraId="76BED3CA" w14:textId="77777777" w:rsidR="0050122D" w:rsidRPr="0050122D" w:rsidRDefault="0050122D" w:rsidP="0050122D">
      <w:pPr>
        <w:spacing w:line="360" w:lineRule="auto"/>
        <w:jc w:val="both"/>
        <w:rPr>
          <w:rFonts w:ascii="Times New Roman" w:eastAsia="Times New Roman" w:hAnsi="Times New Roman" w:cs="Times New Roman"/>
          <w:kern w:val="0"/>
          <w:sz w:val="24"/>
          <w:szCs w:val="20"/>
          <w14:ligatures w14:val="none"/>
        </w:rPr>
      </w:pPr>
      <w:r w:rsidRPr="0050122D">
        <w:rPr>
          <w:rFonts w:ascii="Times New Roman" w:eastAsia="Times New Roman" w:hAnsi="Times New Roman" w:cs="Times New Roman"/>
          <w:kern w:val="0"/>
          <w:sz w:val="24"/>
          <w:szCs w:val="20"/>
          <w14:ligatures w14:val="none"/>
        </w:rPr>
        <w:t xml:space="preserve">Čok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(2012) studied the distribution of personal income tax changes in Slovenia using an exclusive taxpayer database and a general-equilibrium modelling technique over the period from 2004, including the most recent adjustments because of the late-2000s financial crisis. This study's empirical evidence suggests that a decrease in personal income tax burden substantially boosts household consumption in Slovenia. Souleles (1999) used ordinary least squares (OLS) and two-stage least squares (2SLS) to examine the empirical link between household consumption and income tax refunds from 1980 to 1991 in the US. Souleles (1999) found a sensitive response of household consumption to income tax refunds. This concurs with Cloyne and Surico (2017), who revealed that, from a statistical point of view, tax cuts tend to affect consumption. Cloyne and Surico (2017) examined household debt and the dynamic effects of income tax changes during the period 1978 to 2009 through a vector autoregression (VAR) in the UK and the US.</w:t>
      </w:r>
    </w:p>
    <w:p w14:paraId="11CFE9E4" w14:textId="77777777" w:rsidR="0050122D" w:rsidRPr="0050122D" w:rsidRDefault="0050122D" w:rsidP="0050122D">
      <w:pPr>
        <w:spacing w:line="360" w:lineRule="auto"/>
        <w:jc w:val="both"/>
        <w:rPr>
          <w:rFonts w:ascii="Times New Roman" w:eastAsia="Times New Roman" w:hAnsi="Times New Roman" w:cs="Times New Roman"/>
          <w:kern w:val="0"/>
          <w:sz w:val="24"/>
          <w:szCs w:val="20"/>
          <w14:ligatures w14:val="none"/>
        </w:rPr>
      </w:pPr>
      <w:r w:rsidRPr="0050122D">
        <w:rPr>
          <w:rFonts w:ascii="Times New Roman" w:eastAsia="Times New Roman" w:hAnsi="Times New Roman" w:cs="Times New Roman"/>
          <w:kern w:val="0"/>
          <w:sz w:val="24"/>
          <w:szCs w:val="20"/>
          <w14:ligatures w14:val="none"/>
        </w:rPr>
        <w:t xml:space="preserve">On the other hand, Johnson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(2006) used ordinary least squares (OLS) and two-stage least squares (2SLS) to analyse the relationship between household expenditure and income tax rebates in the US between July and September 2001. The findings affirmed that the 2001 income tax rebates encouraged household consumption. On the other hand, Bonga-Bonga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(2016) used the computable general equilibrium framework to analyse the effect of an expansion in property taxes on the economy in South Africa. The outcomes found by Bonga-Bonga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(2016) indicate that a rise in property taxes negatively affects the demand for the factor of production and low-income households' consumption.</w:t>
      </w:r>
    </w:p>
    <w:p w14:paraId="704C8CE4" w14:textId="5BC66F3D" w:rsidR="0050122D" w:rsidRPr="0050122D" w:rsidRDefault="0050122D" w:rsidP="0050122D">
      <w:pPr>
        <w:spacing w:line="360" w:lineRule="auto"/>
        <w:jc w:val="both"/>
        <w:rPr>
          <w:rFonts w:ascii="Times New Roman" w:eastAsia="Times New Roman" w:hAnsi="Times New Roman" w:cs="Times New Roman"/>
          <w:kern w:val="0"/>
          <w:sz w:val="24"/>
          <w:szCs w:val="20"/>
          <w14:ligatures w14:val="none"/>
        </w:rPr>
      </w:pPr>
      <w:r w:rsidRPr="0050122D">
        <w:rPr>
          <w:rFonts w:ascii="Times New Roman" w:eastAsia="Times New Roman" w:hAnsi="Times New Roman" w:cs="Times New Roman"/>
          <w:kern w:val="0"/>
          <w:sz w:val="24"/>
          <w:szCs w:val="20"/>
          <w14:ligatures w14:val="none"/>
        </w:rPr>
        <w:t xml:space="preserve">In South Africa, literature on the relationship between income tax and household consumption is under-represented. Numerous studies have focused on the income tax and government spending, while others have tried to examine the effect of income tax on economic growth. Works of several scholars have been reviewed in the context of the income tax-government expenditure link, such as Van Rensburg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(2022), who conducted a study on the size of fiscal expenditure multipliers in South Africa over the period 2009 to 2019. Van Rensburg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(2022) used an econometric model to evaluate the fiscal </w:t>
      </w:r>
      <w:r w:rsidR="002D3516" w:rsidRPr="0050122D">
        <w:rPr>
          <w:rFonts w:ascii="Times New Roman" w:eastAsia="Times New Roman" w:hAnsi="Times New Roman" w:cs="Times New Roman"/>
          <w:kern w:val="0"/>
          <w:sz w:val="24"/>
          <w:szCs w:val="20"/>
          <w14:ligatures w14:val="none"/>
        </w:rPr>
        <w:t>multipliers and</w:t>
      </w:r>
      <w:r w:rsidRPr="0050122D">
        <w:rPr>
          <w:rFonts w:ascii="Times New Roman" w:eastAsia="Times New Roman" w:hAnsi="Times New Roman" w:cs="Times New Roman"/>
          <w:kern w:val="0"/>
          <w:sz w:val="24"/>
          <w:szCs w:val="20"/>
          <w14:ligatures w14:val="none"/>
        </w:rPr>
        <w:t xml:space="preserve"> found a positive connection between income tax and government spending. On the other hand, Ndahiriwe and Gupta (2007) found bi-directional causality between taxes and expenditure. The study used Granger causality tests in a Vector Error Correction framework to explore the effect of the causal relationship between taxes and expenditure in South Africa. This study used annual data from 1960:1 to 2006:2. Tendengu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(2022) assessed the effect of public sector expenditure, public consumption spending, and taxation, on economic growth in South Africa. This study used the ARDL method to examine the annual data from 1988 to 2018. Tendengu </w:t>
      </w:r>
      <w:r w:rsidRPr="0050122D">
        <w:rPr>
          <w:rFonts w:ascii="Times New Roman" w:eastAsia="Times New Roman" w:hAnsi="Times New Roman" w:cs="Times New Roman"/>
          <w:i/>
          <w:iCs/>
          <w:kern w:val="0"/>
          <w:sz w:val="24"/>
          <w:szCs w:val="20"/>
          <w14:ligatures w14:val="none"/>
        </w:rPr>
        <w:t>et al.</w:t>
      </w:r>
      <w:r w:rsidRPr="0050122D">
        <w:rPr>
          <w:rFonts w:ascii="Times New Roman" w:eastAsia="Times New Roman" w:hAnsi="Times New Roman" w:cs="Times New Roman"/>
          <w:kern w:val="0"/>
          <w:sz w:val="24"/>
          <w:szCs w:val="20"/>
          <w14:ligatures w14:val="none"/>
        </w:rPr>
        <w:t xml:space="preserve"> (2022) suggested that there is a positive relationship between taxation and economic growth in South Africa. </w:t>
      </w:r>
    </w:p>
    <w:p w14:paraId="43C60874" w14:textId="77777777" w:rsidR="0050122D" w:rsidRPr="0050122D" w:rsidRDefault="0050122D" w:rsidP="0050122D">
      <w:pPr>
        <w:spacing w:line="360" w:lineRule="auto"/>
        <w:jc w:val="both"/>
        <w:rPr>
          <w:rFonts w:ascii="Times New Roman" w:eastAsia="Times New Roman" w:hAnsi="Times New Roman" w:cs="Times New Roman"/>
          <w:kern w:val="0"/>
          <w:sz w:val="24"/>
          <w:szCs w:val="20"/>
          <w14:ligatures w14:val="none"/>
        </w:rPr>
      </w:pPr>
      <w:r w:rsidRPr="0050122D">
        <w:rPr>
          <w:rFonts w:ascii="Times New Roman" w:eastAsia="Times New Roman" w:hAnsi="Times New Roman" w:cs="Times New Roman"/>
          <w:kern w:val="0"/>
          <w:sz w:val="24"/>
          <w:szCs w:val="20"/>
          <w14:ligatures w14:val="none"/>
        </w:rPr>
        <w:t>The above results were confirmed by Pamba (2022), who found a positive link between income tax and economic growth in South Africa. Pamba (2022) used time series data from 1994 to 2015 to assess the relationship between tax revenue components and economic growth using the ARDL technique, in line with Khobai and Dladla (2018), who used the ARDL framework to investigate the effect of taxation on economic growth from 1981 to 2016. Khobai and Dladla (2018) found a negative relationship between taxes and economic growth in South Africa. This is contrary to the findings of Kavese and Phiri (2020), who found a positive relationship between income tax and growth in South Africa. Kavese and Phiri (2020) employed the ARDL method to analyse quarterly data from 2002Q1 to 2017Q4.</w:t>
      </w:r>
    </w:p>
    <w:p w14:paraId="1F3F2D46" w14:textId="77777777" w:rsidR="0050122D" w:rsidRPr="0050122D" w:rsidRDefault="0050122D" w:rsidP="0050122D">
      <w:pPr>
        <w:spacing w:line="360" w:lineRule="auto"/>
        <w:jc w:val="both"/>
        <w:rPr>
          <w:rFonts w:ascii="Times New Roman" w:eastAsia="Times New Roman" w:hAnsi="Times New Roman" w:cs="Times New Roman"/>
          <w:kern w:val="0"/>
          <w:sz w:val="24"/>
          <w:szCs w:val="20"/>
          <w14:ligatures w14:val="none"/>
        </w:rPr>
      </w:pPr>
      <w:r w:rsidRPr="0050122D">
        <w:rPr>
          <w:rFonts w:ascii="Times New Roman" w:eastAsia="Times New Roman" w:hAnsi="Times New Roman" w:cs="Times New Roman"/>
          <w:kern w:val="0"/>
          <w:sz w:val="24"/>
          <w:szCs w:val="20"/>
          <w14:ligatures w14:val="none"/>
        </w:rPr>
        <w:t>The empirical literature reviewed above makes it clear that most studies examining the relationship between income tax and household consumption have not employed the QARDL method. In the South African context, this study finds that the link between income tax and household consumption is not well documented. The existing empirical evidence primarily focuses on the relationship between income tax and other economic factors, such as economic growth. None of the reviewed studies investigated the impact of income tax on household consumption in South Africa. Furthermore, the findings of the reviewed literature on the income tax–consumption relationship are inconsistent. Therefore, this study applies the QARDL model to analyse the effect of income tax on household consumption in South Africa.</w:t>
      </w:r>
    </w:p>
    <w:p w14:paraId="55B895D1" w14:textId="52B07FFD" w:rsidR="0050122D" w:rsidRPr="0050122D" w:rsidRDefault="0050122D" w:rsidP="0050122D">
      <w:pPr>
        <w:spacing w:line="360" w:lineRule="auto"/>
        <w:jc w:val="both"/>
        <w:rPr>
          <w:rFonts w:ascii="Times New Roman" w:eastAsia="Calibri" w:hAnsi="Times New Roman" w:cs="Times New Roman"/>
          <w:b/>
          <w:bCs/>
          <w:kern w:val="0"/>
          <w:sz w:val="24"/>
          <w:szCs w:val="24"/>
          <w14:ligatures w14:val="none"/>
        </w:rPr>
      </w:pPr>
      <w:r w:rsidRPr="0050122D">
        <w:rPr>
          <w:rFonts w:ascii="Times New Roman" w:eastAsia="Calibri" w:hAnsi="Times New Roman" w:cs="Times New Roman"/>
          <w:b/>
          <w:bCs/>
          <w:kern w:val="0"/>
          <w:sz w:val="24"/>
          <w:szCs w:val="24"/>
          <w14:ligatures w14:val="none"/>
        </w:rPr>
        <w:t xml:space="preserve">3. Methodology </w:t>
      </w:r>
      <w:r w:rsidR="002D3516">
        <w:rPr>
          <w:rFonts w:ascii="Times New Roman" w:eastAsia="Calibri" w:hAnsi="Times New Roman" w:cs="Times New Roman"/>
          <w:b/>
          <w:bCs/>
          <w:kern w:val="0"/>
          <w:sz w:val="24"/>
          <w:szCs w:val="24"/>
          <w14:ligatures w14:val="none"/>
        </w:rPr>
        <w:t>and Data</w:t>
      </w:r>
    </w:p>
    <w:p w14:paraId="25586664" w14:textId="77777777" w:rsidR="0050122D" w:rsidRPr="0050122D" w:rsidRDefault="0050122D" w:rsidP="0050122D">
      <w:pPr>
        <w:keepNext/>
        <w:spacing w:before="120" w:after="0" w:line="360" w:lineRule="auto"/>
        <w:ind w:left="851" w:hanging="851"/>
        <w:jc w:val="both"/>
        <w:rPr>
          <w:rFonts w:ascii="Times New Roman" w:eastAsia="Calibri" w:hAnsi="Times New Roman" w:cs="Times New Roman"/>
          <w:b/>
          <w:bCs/>
          <w:kern w:val="0"/>
          <w:sz w:val="24"/>
          <w:szCs w:val="24"/>
          <w14:ligatures w14:val="none"/>
        </w:rPr>
      </w:pPr>
      <w:bookmarkStart w:id="0" w:name="_Toc180249504"/>
      <w:bookmarkStart w:id="1" w:name="_Toc183161986"/>
      <w:r w:rsidRPr="0050122D">
        <w:rPr>
          <w:rFonts w:ascii="Times New Roman" w:eastAsia="Calibri" w:hAnsi="Times New Roman" w:cs="Times New Roman"/>
          <w:b/>
          <w:bCs/>
          <w:kern w:val="0"/>
          <w:sz w:val="24"/>
          <w:szCs w:val="24"/>
          <w14:ligatures w14:val="none"/>
        </w:rPr>
        <w:t xml:space="preserve">3.1 </w:t>
      </w:r>
      <w:bookmarkStart w:id="2" w:name="_Hlk177059803"/>
      <w:bookmarkEnd w:id="0"/>
      <w:bookmarkEnd w:id="1"/>
      <w:r w:rsidRPr="0050122D">
        <w:rPr>
          <w:rFonts w:ascii="Times New Roman" w:eastAsia="Calibri" w:hAnsi="Times New Roman" w:cs="Times New Roman"/>
          <w:b/>
          <w:bCs/>
          <w:kern w:val="0"/>
          <w:sz w:val="24"/>
          <w:szCs w:val="24"/>
          <w14:ligatures w14:val="none"/>
        </w:rPr>
        <w:t>The normality test</w:t>
      </w:r>
    </w:p>
    <w:p w14:paraId="4B5CE0A5" w14:textId="77777777" w:rsidR="0050122D" w:rsidRPr="0050122D" w:rsidRDefault="0050122D" w:rsidP="0050122D">
      <w:pPr>
        <w:tabs>
          <w:tab w:val="left" w:pos="4215"/>
        </w:tabs>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 xml:space="preserve">The normality test in the QARDL model is used primarily as a diagnostic tool to check the distribution of the variables. The assumption of the QARDL model does not strictly require a normally distributed series (Shahzad </w:t>
      </w:r>
      <w:r w:rsidRPr="0050122D">
        <w:rPr>
          <w:rFonts w:ascii="Times New Roman" w:eastAsia="Times New Roman" w:hAnsi="Times New Roman" w:cs="Times New Roman"/>
          <w:i/>
          <w:iCs/>
          <w:kern w:val="0"/>
          <w:sz w:val="24"/>
          <w:szCs w:val="24"/>
          <w:lang w:eastAsia="en-ZA"/>
          <w14:ligatures w14:val="none"/>
        </w:rPr>
        <w:t>et al.,</w:t>
      </w:r>
      <w:r w:rsidRPr="0050122D">
        <w:rPr>
          <w:rFonts w:ascii="Times New Roman" w:eastAsia="Times New Roman" w:hAnsi="Times New Roman" w:cs="Times New Roman"/>
          <w:kern w:val="0"/>
          <w:sz w:val="24"/>
          <w:szCs w:val="24"/>
          <w:lang w:eastAsia="en-ZA"/>
          <w14:ligatures w14:val="none"/>
        </w:rPr>
        <w:t xml:space="preserve"> 2021). This study used the multivariate normality test to assess if the variables are normally distributed.</w:t>
      </w:r>
    </w:p>
    <w:p w14:paraId="4522FD5F" w14:textId="77777777" w:rsidR="0050122D" w:rsidRPr="0050122D" w:rsidRDefault="0050122D" w:rsidP="0050122D">
      <w:pPr>
        <w:keepNext/>
        <w:numPr>
          <w:ilvl w:val="3"/>
          <w:numId w:val="0"/>
        </w:numPr>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bookmarkStart w:id="3" w:name="_Toc183627126"/>
      <w:r w:rsidRPr="0050122D">
        <w:rPr>
          <w:rFonts w:ascii="Times New Roman" w:eastAsia="Calibri" w:hAnsi="Times New Roman" w:cs="Times New Roman"/>
          <w:b/>
          <w:bCs/>
          <w:kern w:val="0"/>
          <w:sz w:val="24"/>
          <w:szCs w:val="24"/>
          <w:lang w:val="en-US" w:eastAsia="en-ZA"/>
          <w14:ligatures w14:val="none"/>
        </w:rPr>
        <w:t xml:space="preserve">3.2 </w:t>
      </w:r>
      <w:bookmarkEnd w:id="3"/>
      <w:r w:rsidRPr="0050122D">
        <w:rPr>
          <w:rFonts w:ascii="Times New Roman" w:eastAsia="Calibri" w:hAnsi="Times New Roman" w:cs="Times New Roman"/>
          <w:b/>
          <w:bCs/>
          <w:kern w:val="0"/>
          <w:sz w:val="24"/>
          <w:szCs w:val="24"/>
          <w:lang w:val="en-US" w:eastAsia="en-ZA"/>
          <w14:ligatures w14:val="none"/>
        </w:rPr>
        <w:t>The multivariate normality test</w:t>
      </w:r>
    </w:p>
    <w:p w14:paraId="6A5F00C6"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bookmarkStart w:id="4" w:name="_Hlk174224461"/>
      <w:r w:rsidRPr="0050122D">
        <w:rPr>
          <w:rFonts w:ascii="Times New Roman" w:eastAsia="Calibri" w:hAnsi="Times New Roman" w:cs="Times New Roman"/>
          <w:kern w:val="0"/>
          <w:sz w:val="24"/>
          <w:szCs w:val="24"/>
          <w14:ligatures w14:val="none"/>
        </w:rPr>
        <w:t>The multivariate normality test has been developed by various statisticians with different methods.</w:t>
      </w:r>
      <w:r w:rsidRPr="0050122D">
        <w:rPr>
          <w:rFonts w:ascii="Times New Roman" w:eastAsia="Times New Roman" w:hAnsi="Times New Roman" w:cs="Times New Roman"/>
          <w:kern w:val="0"/>
          <w:sz w:val="24"/>
          <w:szCs w:val="24"/>
          <w14:ligatures w14:val="none"/>
        </w:rPr>
        <w:t xml:space="preserve"> These several tests of the multivariate normality method include; Shapiro-Wilk, Henze-Zirkler, </w:t>
      </w:r>
      <w:bookmarkStart w:id="5" w:name="_Hlk174196371"/>
      <w:r w:rsidRPr="0050122D">
        <w:rPr>
          <w:rFonts w:ascii="Times New Roman" w:eastAsia="Times New Roman" w:hAnsi="Times New Roman" w:cs="Times New Roman"/>
          <w:kern w:val="0"/>
          <w:sz w:val="24"/>
          <w:szCs w:val="24"/>
          <w14:ligatures w14:val="none"/>
        </w:rPr>
        <w:t>Mardia's Skewness, Mardia's Kurtosis</w:t>
      </w:r>
      <w:bookmarkEnd w:id="5"/>
      <w:r w:rsidRPr="0050122D">
        <w:rPr>
          <w:rFonts w:ascii="Times New Roman" w:eastAsia="Times New Roman" w:hAnsi="Times New Roman" w:cs="Times New Roman"/>
          <w:kern w:val="0"/>
          <w:sz w:val="24"/>
          <w:szCs w:val="24"/>
          <w14:ligatures w14:val="none"/>
        </w:rPr>
        <w:t xml:space="preserve">, and Doornik-Hansen. </w:t>
      </w:r>
    </w:p>
    <w:p w14:paraId="59AD8EE9"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The Shapiro-Wilk test was developed by Patrick Royston in the early 1980s, and operates well in detecting departures from normality, especially in small sample sizes (Kres, 1983).​ The combined test statistic </w:t>
      </w:r>
      <m:oMath>
        <m:r>
          <w:rPr>
            <w:rFonts w:ascii="Cambria Math" w:eastAsia="Times New Roman" w:hAnsi="Cambria Math" w:cs="Times New Roman"/>
            <w:kern w:val="0"/>
            <w:sz w:val="24"/>
            <w:szCs w:val="24"/>
            <w14:ligatures w14:val="none"/>
          </w:rPr>
          <m:t>W</m:t>
        </m:r>
      </m:oMath>
      <w:r w:rsidRPr="0050122D">
        <w:rPr>
          <w:rFonts w:ascii="Times New Roman" w:eastAsia="Times New Roman" w:hAnsi="Times New Roman" w:cs="Times New Roman"/>
          <w:kern w:val="0"/>
          <w:sz w:val="24"/>
          <w:szCs w:val="24"/>
          <w14:ligatures w14:val="none"/>
        </w:rPr>
        <w:t xml:space="preserve"> is computed from individual Shapiro-Wilk statistics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W</m:t>
            </m:r>
          </m:e>
          <m:sub>
            <m:r>
              <w:rPr>
                <w:rFonts w:ascii="Cambria Math" w:eastAsia="Times New Roman" w:hAnsi="Cambria Math" w:cs="Times New Roman"/>
                <w:kern w:val="0"/>
                <w:sz w:val="24"/>
                <w:szCs w:val="24"/>
                <w14:ligatures w14:val="none"/>
              </w:rPr>
              <m:t>i</m:t>
            </m:r>
          </m:sub>
        </m:sSub>
      </m:oMath>
      <w:r w:rsidRPr="0050122D">
        <w:rPr>
          <w:rFonts w:ascii="Times New Roman" w:eastAsia="Times New Roman" w:hAnsi="Times New Roman" w:cs="Times New Roman"/>
          <w:kern w:val="0"/>
          <w:sz w:val="24"/>
          <w:szCs w:val="24"/>
          <w14:ligatures w14:val="none"/>
        </w:rPr>
        <w:t>​ as:</w:t>
      </w:r>
    </w:p>
    <w:p w14:paraId="72505875" w14:textId="77777777" w:rsidR="0050122D" w:rsidRPr="0050122D" w:rsidRDefault="00ED6F44" w:rsidP="0050122D">
      <w:pPr>
        <w:spacing w:after="240" w:line="360" w:lineRule="auto"/>
        <w:jc w:val="both"/>
        <w:rPr>
          <w:rFonts w:ascii="Times New Roman" w:eastAsia="Times New Roman" w:hAnsi="Times New Roman" w:cs="Times New Roman"/>
          <w:kern w:val="0"/>
          <w:sz w:val="24"/>
          <w:szCs w:val="24"/>
          <w14:ligatures w14:val="none"/>
        </w:rPr>
      </w:pP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W</m:t>
            </m:r>
          </m:e>
          <m:sup>
            <m:r>
              <w:rPr>
                <w:rFonts w:ascii="Cambria Math" w:eastAsia="Times New Roman" w:hAnsi="Cambria Math" w:cs="Times New Roman"/>
                <w:kern w:val="0"/>
                <w:sz w:val="24"/>
                <w:szCs w:val="24"/>
                <w14:ligatures w14:val="none"/>
              </w:rPr>
              <m:t>*</m:t>
            </m:r>
          </m:sup>
        </m:sSup>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p</m:t>
            </m:r>
          </m:sup>
          <m:e>
            <m:f>
              <m:fPr>
                <m:ctrlPr>
                  <w:rPr>
                    <w:rFonts w:ascii="Cambria Math" w:eastAsia="Times New Roman" w:hAnsi="Cambria Math" w:cs="Times New Roman"/>
                    <w:i/>
                    <w:kern w:val="0"/>
                    <w:sz w:val="24"/>
                    <w:szCs w:val="24"/>
                    <w14:ligatures w14:val="none"/>
                  </w:rPr>
                </m:ctrlPr>
              </m:fPr>
              <m:num>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W</m:t>
                    </m:r>
                  </m:e>
                  <m:sub>
                    <m:r>
                      <w:rPr>
                        <w:rFonts w:ascii="Cambria Math" w:eastAsia="Times New Roman" w:hAnsi="Cambria Math" w:cs="Times New Roman"/>
                        <w:kern w:val="0"/>
                        <w:sz w:val="24"/>
                        <w:szCs w:val="24"/>
                        <w14:ligatures w14:val="none"/>
                      </w:rPr>
                      <m:t>i</m:t>
                    </m:r>
                  </m:sub>
                </m:sSub>
                <m:r>
                  <w:rPr>
                    <w:rFonts w:ascii="Cambria Math" w:eastAsia="Times New Roman" w:hAnsi="Cambria Math" w:cs="Times New Roman"/>
                    <w:kern w:val="0"/>
                    <w:sz w:val="24"/>
                    <w:szCs w:val="24"/>
                    <w14:ligatures w14:val="none"/>
                  </w:rPr>
                  <m:t xml:space="preserve"> - </m:t>
                </m:r>
                <m:acc>
                  <m:accPr>
                    <m:chr m:val="̅"/>
                    <m:ctrlPr>
                      <w:rPr>
                        <w:rFonts w:ascii="Cambria Math" w:eastAsia="Times New Roman" w:hAnsi="Cambria Math" w:cs="Times New Roman"/>
                        <w:i/>
                        <w:kern w:val="0"/>
                        <w:sz w:val="24"/>
                        <w:szCs w:val="24"/>
                        <w14:ligatures w14:val="none"/>
                      </w:rPr>
                    </m:ctrlPr>
                  </m:accPr>
                  <m:e>
                    <w:bookmarkStart w:id="6" w:name="_Hlk174218557"/>
                    <m:r>
                      <w:rPr>
                        <w:rFonts w:ascii="Cambria Math" w:eastAsia="Times New Roman" w:hAnsi="Cambria Math" w:cs="Times New Roman"/>
                        <w:kern w:val="0"/>
                        <w:sz w:val="24"/>
                        <w:szCs w:val="24"/>
                        <w14:ligatures w14:val="none"/>
                      </w:rPr>
                      <m:t>W</m:t>
                    </m:r>
                    <w:bookmarkEnd w:id="6"/>
                  </m:e>
                </m:acc>
                <m:r>
                  <w:rPr>
                    <w:rFonts w:ascii="Cambria Math" w:eastAsia="Times New Roman" w:hAnsi="Cambria Math" w:cs="Times New Roman"/>
                    <w:kern w:val="0"/>
                    <w:sz w:val="24"/>
                    <w:szCs w:val="24"/>
                    <w14:ligatures w14:val="none"/>
                  </w:rPr>
                  <m:t xml:space="preserve"> </m:t>
                </m:r>
              </m:num>
              <m:den>
                <w:bookmarkStart w:id="7" w:name="_Hlk174218809"/>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s</m:t>
                    </m:r>
                  </m:e>
                  <m:sub>
                    <m:r>
                      <w:rPr>
                        <w:rFonts w:ascii="Cambria Math" w:eastAsia="Times New Roman" w:hAnsi="Cambria Math" w:cs="Times New Roman"/>
                        <w:kern w:val="0"/>
                        <w:sz w:val="24"/>
                        <w:szCs w:val="24"/>
                        <w14:ligatures w14:val="none"/>
                      </w:rPr>
                      <m:t>w</m:t>
                    </m:r>
                  </m:sub>
                </m:sSub>
                <w:bookmarkEnd w:id="7"/>
              </m:den>
            </m:f>
          </m:e>
        </m:nary>
      </m:oMath>
      <w:r w:rsidR="0050122D" w:rsidRPr="0050122D">
        <w:rPr>
          <w:rFonts w:ascii="Times New Roman" w:eastAsia="Times New Roman" w:hAnsi="Times New Roman" w:cs="Times New Roman"/>
          <w:kern w:val="0"/>
          <w:sz w:val="24"/>
          <w:szCs w:val="24"/>
          <w14:ligatures w14:val="none"/>
        </w:rPr>
        <w:t xml:space="preserve"> …………………………………………………..……………………...........(1)</w:t>
      </w:r>
    </w:p>
    <w:p w14:paraId="0F5E7C37" w14:textId="77777777" w:rsidR="0050122D" w:rsidRPr="0050122D" w:rsidRDefault="0050122D" w:rsidP="0050122D">
      <w:pPr>
        <w:spacing w:after="240" w:line="360" w:lineRule="auto"/>
        <w:jc w:val="both"/>
        <w:rPr>
          <w:rFonts w:ascii="Times New Roman" w:eastAsia="Times New Roman" w:hAnsi="Times New Roman" w:cs="Times New Roman"/>
          <w:iCs/>
          <w:kern w:val="0"/>
          <w:sz w:val="24"/>
          <w:szCs w:val="24"/>
          <w14:ligatures w14:val="none"/>
        </w:rPr>
      </w:pPr>
      <w:r w:rsidRPr="0050122D">
        <w:rPr>
          <w:rFonts w:ascii="Times New Roman" w:eastAsia="Times New Roman" w:hAnsi="Times New Roman" w:cs="Times New Roman"/>
          <w:kern w:val="0"/>
          <w:sz w:val="24"/>
          <w:szCs w:val="24"/>
          <w14:ligatures w14:val="none"/>
        </w:rPr>
        <w:t xml:space="preserve">Where </w:t>
      </w:r>
      <m:oMath>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W</m:t>
            </m:r>
          </m:e>
        </m:acc>
      </m:oMath>
      <w:r w:rsidRPr="0050122D">
        <w:rPr>
          <w:rFonts w:ascii="Times New Roman" w:eastAsia="Times New Roman" w:hAnsi="Times New Roman" w:cs="Times New Roman"/>
          <w:kern w:val="0"/>
          <w:sz w:val="24"/>
          <w:szCs w:val="24"/>
          <w14:ligatures w14:val="none"/>
        </w:rPr>
        <w:t xml:space="preserve"> is the mean of the individual Shapiro-Wilk statistics,</w:t>
      </w:r>
      <w:r w:rsidRPr="0050122D">
        <w:rPr>
          <w:rFonts w:ascii="Times New Roman" w:eastAsia="Times New Roman" w:hAnsi="Times New Roman" w:cs="Times New Roman"/>
          <w:i/>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s</m:t>
            </m:r>
          </m:e>
          <m:sub>
            <m:r>
              <w:rPr>
                <w:rFonts w:ascii="Cambria Math" w:eastAsia="Times New Roman" w:hAnsi="Cambria Math" w:cs="Times New Roman"/>
                <w:kern w:val="0"/>
                <w:sz w:val="24"/>
                <w:szCs w:val="24"/>
                <w14:ligatures w14:val="none"/>
              </w:rPr>
              <m:t>w</m:t>
            </m:r>
          </m:sub>
        </m:sSub>
      </m:oMath>
      <w:r w:rsidRPr="0050122D">
        <w:rPr>
          <w:rFonts w:ascii="Times New Roman" w:eastAsia="Times New Roman" w:hAnsi="Times New Roman" w:cs="Times New Roman"/>
          <w:i/>
          <w:kern w:val="0"/>
          <w:sz w:val="24"/>
          <w:szCs w:val="24"/>
          <w14:ligatures w14:val="none"/>
        </w:rPr>
        <w:t xml:space="preserve"> </w:t>
      </w:r>
      <w:r w:rsidRPr="0050122D">
        <w:rPr>
          <w:rFonts w:ascii="Times New Roman" w:eastAsia="Times New Roman" w:hAnsi="Times New Roman" w:cs="Times New Roman"/>
          <w:kern w:val="0"/>
          <w:sz w:val="24"/>
          <w:szCs w:val="24"/>
          <w14:ligatures w14:val="none"/>
        </w:rPr>
        <w:t>is the standard deviation of the individual Shapiro-Wilk statistics,</w:t>
      </w:r>
      <w:r w:rsidRPr="0050122D">
        <w:rPr>
          <w:rFonts w:ascii="Times New Roman" w:eastAsia="Times New Roman" w:hAnsi="Times New Roman" w:cs="Times New Roman"/>
          <w:i/>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W</m:t>
            </m:r>
          </m:e>
          <m:sup>
            <m:r>
              <w:rPr>
                <w:rFonts w:ascii="Cambria Math" w:eastAsia="Times New Roman" w:hAnsi="Cambria Math" w:cs="Times New Roman"/>
                <w:kern w:val="0"/>
                <w:sz w:val="24"/>
                <w:szCs w:val="24"/>
                <w14:ligatures w14:val="none"/>
              </w:rPr>
              <m:t>*</m:t>
            </m:r>
          </m:sup>
        </m:sSup>
      </m:oMath>
      <w:r w:rsidRPr="0050122D">
        <w:rPr>
          <w:rFonts w:ascii="Times New Roman" w:eastAsia="Times New Roman" w:hAnsi="Times New Roman" w:cs="Times New Roman"/>
          <w:i/>
          <w:kern w:val="0"/>
          <w:sz w:val="24"/>
          <w:szCs w:val="24"/>
          <w14:ligatures w14:val="none"/>
        </w:rPr>
        <w:t xml:space="preserve"> </w:t>
      </w:r>
      <w:r w:rsidRPr="0050122D">
        <w:rPr>
          <w:rFonts w:ascii="Times New Roman" w:eastAsia="Times New Roman" w:hAnsi="Times New Roman" w:cs="Times New Roman"/>
          <w:kern w:val="0"/>
          <w:sz w:val="24"/>
          <w:szCs w:val="24"/>
          <w14:ligatures w14:val="none"/>
        </w:rPr>
        <w:t xml:space="preserve">can then be compared to a normal distribution to determine significance. </w:t>
      </w:r>
      <w:r w:rsidRPr="0050122D">
        <w:rPr>
          <w:rFonts w:ascii="Times New Roman" w:eastAsia="Times New Roman" w:hAnsi="Times New Roman" w:cs="Times New Roman"/>
          <w:iCs/>
          <w:kern w:val="0"/>
          <w:sz w:val="24"/>
          <w:szCs w:val="24"/>
          <w14:ligatures w14:val="none"/>
        </w:rPr>
        <w:t xml:space="preserve">The </w:t>
      </w:r>
      <w:r w:rsidRPr="0050122D">
        <w:rPr>
          <w:rFonts w:ascii="Times New Roman" w:eastAsia="Calibri" w:hAnsi="Times New Roman" w:cs="Times New Roman"/>
          <w:kern w:val="0"/>
          <w:sz w:val="24"/>
          <w:szCs w:val="24"/>
          <w14:ligatures w14:val="none"/>
        </w:rPr>
        <w:t>Mardia's tests, which are</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Calibri" w:hAnsi="Times New Roman" w:cs="Times New Roman"/>
          <w:kern w:val="0"/>
          <w:sz w:val="24"/>
          <w:szCs w:val="24"/>
          <w14:ligatures w14:val="none"/>
        </w:rPr>
        <w:t>based on multivariate skewness and kurtosis, were constructed by Kanti V. Mardia in 1970, and are the most widely used tests for assessing deviations from normality in multivariate skewness (</w:t>
      </w:r>
      <w:r w:rsidRPr="0050122D">
        <w:rPr>
          <w:rFonts w:ascii="Times New Roman" w:eastAsia="Times New Roman" w:hAnsi="Times New Roman" w:cs="Times New Roman"/>
          <w:kern w:val="0"/>
          <w:sz w:val="24"/>
          <w:szCs w:val="24"/>
          <w14:ligatures w14:val="none"/>
        </w:rPr>
        <w:t xml:space="preserve">Farrell </w:t>
      </w:r>
      <w:r w:rsidRPr="0050122D">
        <w:rPr>
          <w:rFonts w:ascii="Times New Roman" w:eastAsia="Times New Roman" w:hAnsi="Times New Roman" w:cs="Times New Roman"/>
          <w:i/>
          <w:iCs/>
          <w:kern w:val="0"/>
          <w:sz w:val="24"/>
          <w:szCs w:val="24"/>
          <w14:ligatures w14:val="none"/>
        </w:rPr>
        <w:t>et al.,</w:t>
      </w:r>
      <w:r w:rsidRPr="0050122D">
        <w:rPr>
          <w:rFonts w:ascii="Times New Roman" w:eastAsia="Times New Roman" w:hAnsi="Times New Roman" w:cs="Times New Roman"/>
          <w:kern w:val="0"/>
          <w:sz w:val="24"/>
          <w:szCs w:val="24"/>
          <w14:ligatures w14:val="none"/>
        </w:rPr>
        <w:t xml:space="preserve"> 2007</w:t>
      </w:r>
      <w:r w:rsidRPr="0050122D">
        <w:rPr>
          <w:rFonts w:ascii="Times New Roman" w:eastAsia="Calibri" w:hAnsi="Times New Roman" w:cs="Times New Roman"/>
          <w:kern w:val="0"/>
          <w:sz w:val="24"/>
          <w:szCs w:val="24"/>
          <w14:ligatures w14:val="none"/>
        </w:rPr>
        <w:t>).</w:t>
      </w:r>
      <w:r w:rsidRPr="0050122D">
        <w:rPr>
          <w:rFonts w:ascii="Times New Roman" w:eastAsia="Times New Roman" w:hAnsi="Times New Roman" w:cs="Times New Roman"/>
          <w:kern w:val="0"/>
          <w:sz w:val="24"/>
          <w:szCs w:val="24"/>
          <w14:ligatures w14:val="none"/>
        </w:rPr>
        <w:t xml:space="preserve"> In addition, </w:t>
      </w:r>
      <w:r w:rsidRPr="0050122D">
        <w:rPr>
          <w:rFonts w:ascii="Times New Roman" w:eastAsia="Calibri" w:hAnsi="Times New Roman" w:cs="Times New Roman"/>
          <w:kern w:val="0"/>
          <w:sz w:val="24"/>
          <w:szCs w:val="24"/>
          <w14:ligatures w14:val="none"/>
        </w:rPr>
        <w:t>Mardia's Skewness and Mardia's Kurtosis tests remain a standard in statistical analysis for identifying non-normality.</w:t>
      </w:r>
      <w:r w:rsidRPr="0050122D">
        <w:rPr>
          <w:rFonts w:ascii="Times New Roman" w:eastAsia="Times New Roman" w:hAnsi="Times New Roman" w:cs="Times New Roman"/>
          <w:kern w:val="0"/>
          <w:sz w:val="24"/>
          <w:szCs w:val="24"/>
          <w14:ligatures w14:val="none"/>
        </w:rPr>
        <w:t xml:space="preserve"> The Mardia's Multivariate Skewness equation is specified as follows:</w:t>
      </w:r>
    </w:p>
    <w:p w14:paraId="36CFF943" w14:textId="77777777" w:rsidR="0050122D" w:rsidRPr="0050122D" w:rsidRDefault="00ED6F44" w:rsidP="0050122D">
      <w:pPr>
        <w:spacing w:after="240" w:line="360" w:lineRule="auto"/>
        <w:jc w:val="both"/>
        <w:rPr>
          <w:rFonts w:ascii="Times New Roman" w:eastAsia="Times New Roman" w:hAnsi="Times New Roman" w:cs="Times New Roman"/>
          <w:kern w:val="0"/>
          <w:sz w:val="24"/>
          <w:szCs w:val="24"/>
          <w14:ligatures w14:val="none"/>
        </w:rPr>
      </w:pP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1</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1</m:t>
            </m:r>
          </m:num>
          <m:den>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n</m:t>
                </m:r>
              </m:e>
              <m:sup>
                <m:r>
                  <w:rPr>
                    <w:rFonts w:ascii="Cambria Math" w:eastAsia="Times New Roman" w:hAnsi="Cambria Math" w:cs="Times New Roman"/>
                    <w:kern w:val="0"/>
                    <w:sz w:val="24"/>
                    <w:szCs w:val="24"/>
                    <w14:ligatures w14:val="none"/>
                  </w:rPr>
                  <m:t>2</m:t>
                </m:r>
              </m:sup>
            </m:sSup>
          </m:den>
        </m:f>
      </m:oMath>
      <w:r w:rsidR="0050122D" w:rsidRPr="0050122D">
        <w:rPr>
          <w:rFonts w:ascii="Times New Roman" w:eastAsia="Times New Roman" w:hAnsi="Times New Roman" w:cs="Times New Roman"/>
          <w:kern w:val="0"/>
          <w:sz w:val="24"/>
          <w:szCs w:val="24"/>
          <w14:ligatures w14:val="none"/>
        </w:rPr>
        <w:t xml:space="preserve"> </w:t>
      </w:r>
      <w:bookmarkStart w:id="8" w:name="_Hlk174207321"/>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n</m:t>
            </m:r>
          </m:sup>
          <m:e>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j=1</m:t>
                </m:r>
              </m:sub>
              <m:sup>
                <m:r>
                  <w:rPr>
                    <w:rFonts w:ascii="Cambria Math" w:eastAsia="Times New Roman" w:hAnsi="Cambria Math" w:cs="Times New Roman"/>
                    <w:kern w:val="0"/>
                    <w:sz w:val="24"/>
                    <w:szCs w:val="24"/>
                    <w14:ligatures w14:val="none"/>
                  </w:rPr>
                  <m:t>n</m:t>
                </m:r>
              </m:sup>
              <m:e>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i</m:t>
                    </m:r>
                  </m:sub>
                </m:sSub>
              </m:e>
            </m:nary>
          </m:e>
        </m:nary>
        <w:bookmarkEnd w:id="8"/>
        <m:r>
          <w:rPr>
            <w:rFonts w:ascii="Cambria Math" w:eastAsia="Times New Roman" w:hAnsi="Cambria Math" w:cs="Times New Roman"/>
            <w:kern w:val="0"/>
            <w:sz w:val="24"/>
            <w:szCs w:val="24"/>
            <w14:ligatures w14:val="none"/>
          </w:rPr>
          <m:t xml:space="preserve">- </m:t>
        </m:r>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X</m:t>
            </m:r>
          </m:e>
        </m:acc>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m:t>
            </m:r>
          </m:sup>
        </m:sSup>
      </m:oMath>
      <w:r w:rsidR="0050122D"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S</m:t>
            </m:r>
          </m:e>
          <m:sup>
            <m:r>
              <w:rPr>
                <w:rFonts w:ascii="Cambria Math" w:eastAsia="Times New Roman" w:hAnsi="Cambria Math" w:cs="Times New Roman"/>
                <w:kern w:val="0"/>
                <w:sz w:val="24"/>
                <w:szCs w:val="24"/>
                <w14:ligatures w14:val="none"/>
              </w:rPr>
              <m:t>-1</m:t>
            </m:r>
          </m:sup>
        </m:sSup>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j</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X</m:t>
            </m:r>
          </m:e>
        </m:acc>
      </m:oMath>
      <w:r w:rsidR="0050122D" w:rsidRPr="0050122D">
        <w:rPr>
          <w:rFonts w:ascii="Times New Roman" w:eastAsia="Times New Roman" w:hAnsi="Times New Roman" w:cs="Times New Roman"/>
          <w:kern w:val="0"/>
          <w:sz w:val="24"/>
          <w:szCs w:val="24"/>
          <w14:ligatures w14:val="none"/>
        </w:rPr>
        <w:t>)</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3</m:t>
            </m:r>
          </m:sup>
        </m:sSup>
      </m:oMath>
      <w:r w:rsidR="0050122D" w:rsidRPr="0050122D">
        <w:rPr>
          <w:rFonts w:ascii="Times New Roman" w:eastAsia="Times New Roman" w:hAnsi="Times New Roman" w:cs="Times New Roman"/>
          <w:kern w:val="0"/>
          <w:sz w:val="24"/>
          <w:szCs w:val="24"/>
          <w14:ligatures w14:val="none"/>
        </w:rPr>
        <w:t xml:space="preserve"> ………………………………………..………….(2)</w:t>
      </w:r>
    </w:p>
    <w:p w14:paraId="639A4A6B"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Where: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i</m:t>
            </m:r>
          </m:sub>
        </m:sSub>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X</m:t>
            </m:r>
          </m:e>
        </m:acc>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represents the deviation of the </w:t>
      </w:r>
      <m:oMath>
        <m:r>
          <w:rPr>
            <w:rFonts w:ascii="Cambria Math" w:eastAsia="Times New Roman" w:hAnsi="Cambria Math" w:cs="Times New Roman"/>
            <w:kern w:val="0"/>
            <w:sz w:val="24"/>
            <w:szCs w:val="24"/>
            <w14:ligatures w14:val="none"/>
          </w:rPr>
          <m:t>i</m:t>
        </m:r>
      </m:oMath>
      <w:r w:rsidRPr="0050122D">
        <w:rPr>
          <w:rFonts w:ascii="Times New Roman" w:eastAsia="Times New Roman" w:hAnsi="Times New Roman" w:cs="Times New Roman"/>
          <w:kern w:val="0"/>
          <w:sz w:val="24"/>
          <w:szCs w:val="24"/>
          <w14:ligatures w14:val="none"/>
        </w:rPr>
        <w:t xml:space="preserve">-th observation from the mean,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S</m:t>
            </m:r>
          </m:e>
          <m:sup>
            <m:r>
              <w:rPr>
                <w:rFonts w:ascii="Cambria Math" w:eastAsia="Times New Roman" w:hAnsi="Cambria Math" w:cs="Times New Roman"/>
                <w:kern w:val="0"/>
                <w:sz w:val="24"/>
                <w:szCs w:val="24"/>
                <w14:ligatures w14:val="none"/>
              </w:rPr>
              <m:t>-1</m:t>
            </m:r>
          </m:sup>
        </m:sSup>
      </m:oMath>
      <w:r w:rsidRPr="0050122D">
        <w:rPr>
          <w:rFonts w:ascii="Times New Roman" w:eastAsia="Times New Roman" w:hAnsi="Times New Roman" w:cs="Times New Roman"/>
          <w:kern w:val="0"/>
          <w:sz w:val="24"/>
          <w:szCs w:val="24"/>
          <w14:ligatures w14:val="none"/>
        </w:rPr>
        <w:t xml:space="preserve"> is the inverse of the sample covariance matrix, and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i</m:t>
            </m:r>
          </m:sub>
        </m:sSub>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X</m:t>
            </m:r>
          </m:e>
        </m:acc>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m:t>
            </m:r>
          </m:sup>
        </m:sSup>
      </m:oMath>
      <w:r w:rsidRPr="0050122D">
        <w:rPr>
          <w:rFonts w:ascii="Times New Roman" w:eastAsia="Times New Roman" w:hAnsi="Times New Roman" w:cs="Times New Roman"/>
          <w:kern w:val="0"/>
          <w:sz w:val="24"/>
          <w:szCs w:val="24"/>
          <w14:ligatures w14:val="none"/>
        </w:rPr>
        <w:t xml:space="preserve"> indicate the transpose of the deviation vector. The multivariate kurtosis statistic is calculated as follows: </w:t>
      </w:r>
    </w:p>
    <w:p w14:paraId="3125C4DC" w14:textId="77777777" w:rsidR="0050122D" w:rsidRPr="0050122D" w:rsidRDefault="00ED6F44" w:rsidP="0050122D">
      <w:pPr>
        <w:spacing w:after="240" w:line="360" w:lineRule="auto"/>
        <w:jc w:val="both"/>
        <w:rPr>
          <w:rFonts w:ascii="Times New Roman" w:eastAsia="Times New Roman" w:hAnsi="Times New Roman" w:cs="Times New Roman"/>
          <w:kern w:val="0"/>
          <w:sz w:val="24"/>
          <w:szCs w:val="24"/>
          <w14:ligatures w14:val="none"/>
        </w:rPr>
      </w:pP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2</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1</m:t>
            </m:r>
          </m:num>
          <m:den>
            <m:r>
              <w:rPr>
                <w:rFonts w:ascii="Cambria Math" w:eastAsia="Times New Roman" w:hAnsi="Cambria Math" w:cs="Times New Roman"/>
                <w:kern w:val="0"/>
                <w:sz w:val="24"/>
                <w:szCs w:val="24"/>
                <w14:ligatures w14:val="none"/>
              </w:rPr>
              <m:t>n</m:t>
            </m:r>
          </m:den>
        </m:f>
      </m:oMath>
      <w:r w:rsidR="0050122D" w:rsidRPr="0050122D">
        <w:rPr>
          <w:rFonts w:ascii="Times New Roman" w:eastAsia="Times New Roman" w:hAnsi="Times New Roman" w:cs="Times New Roman"/>
          <w:kern w:val="0"/>
          <w:sz w:val="24"/>
          <w:szCs w:val="24"/>
          <w14:ligatures w14:val="none"/>
        </w:rPr>
        <w:t xml:space="preserve"> </w:t>
      </w:r>
      <w:bookmarkStart w:id="9" w:name="_Hlk174216112"/>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n</m:t>
            </m:r>
          </m:sup>
          <m:e>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i</m:t>
                </m:r>
              </m:sub>
            </m:sSub>
          </m:e>
        </m:nary>
        <m:r>
          <w:rPr>
            <w:rFonts w:ascii="Cambria Math" w:eastAsia="Times New Roman" w:hAnsi="Cambria Math" w:cs="Times New Roman"/>
            <w:kern w:val="0"/>
            <w:sz w:val="24"/>
            <w:szCs w:val="24"/>
            <w14:ligatures w14:val="none"/>
          </w:rPr>
          <m:t xml:space="preserve">- </m:t>
        </m:r>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X</m:t>
            </m:r>
          </m:e>
        </m:acc>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m:t>
            </m:r>
          </m:sup>
        </m:sSup>
      </m:oMath>
      <w:r w:rsidR="0050122D"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S</m:t>
            </m:r>
          </m:e>
          <m:sup>
            <m:r>
              <w:rPr>
                <w:rFonts w:ascii="Cambria Math" w:eastAsia="Times New Roman" w:hAnsi="Cambria Math" w:cs="Times New Roman"/>
                <w:kern w:val="0"/>
                <w:sz w:val="24"/>
                <w:szCs w:val="24"/>
                <w14:ligatures w14:val="none"/>
              </w:rPr>
              <m:t>-1</m:t>
            </m:r>
          </m:sup>
        </m:sSup>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i</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acc>
          <m:accPr>
            <m:chr m:val="̅"/>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X</m:t>
            </m:r>
          </m:e>
        </m:acc>
      </m:oMath>
      <w:bookmarkEnd w:id="9"/>
      <w:r w:rsidR="0050122D" w:rsidRPr="0050122D">
        <w:rPr>
          <w:rFonts w:ascii="Times New Roman" w:eastAsia="Times New Roman" w:hAnsi="Times New Roman" w:cs="Times New Roman"/>
          <w:kern w:val="0"/>
          <w:sz w:val="24"/>
          <w:szCs w:val="24"/>
          <w14:ligatures w14:val="none"/>
        </w:rPr>
        <w:t>)</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2</m:t>
            </m:r>
          </m:sup>
        </m:sSup>
      </m:oMath>
      <w:r w:rsidR="0050122D" w:rsidRPr="0050122D">
        <w:rPr>
          <w:rFonts w:ascii="Times New Roman" w:eastAsia="Times New Roman" w:hAnsi="Times New Roman" w:cs="Times New Roman"/>
          <w:kern w:val="0"/>
          <w:sz w:val="24"/>
          <w:szCs w:val="24"/>
          <w14:ligatures w14:val="none"/>
        </w:rPr>
        <w:t xml:space="preserve"> …………………………………………….……………(3)</w:t>
      </w:r>
    </w:p>
    <w:p w14:paraId="10FE0B89"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On the other hand, the </w:t>
      </w:r>
      <w:r w:rsidRPr="0050122D">
        <w:rPr>
          <w:rFonts w:ascii="Times New Roman" w:eastAsia="Calibri" w:hAnsi="Times New Roman" w:cs="Times New Roman"/>
          <w:kern w:val="0"/>
          <w:sz w:val="24"/>
          <w:szCs w:val="24"/>
          <w14:ligatures w14:val="none"/>
        </w:rPr>
        <w:t>Henze-Zirkler test was introduced by Norbert Henze and Bernhard Zirkler in 1990. This test is based on the characteristic function and is known for its good performance under a wide range of alternatives (</w:t>
      </w:r>
      <w:r w:rsidRPr="0050122D">
        <w:rPr>
          <w:rFonts w:ascii="Times New Roman" w:eastAsia="Times New Roman" w:hAnsi="Times New Roman" w:cs="Times New Roman"/>
          <w:kern w:val="0"/>
          <w:sz w:val="24"/>
          <w:szCs w:val="24"/>
          <w14:ligatures w14:val="none"/>
        </w:rPr>
        <w:t>Ebner &amp; Henze, 2020</w:t>
      </w:r>
      <w:r w:rsidRPr="0050122D">
        <w:rPr>
          <w:rFonts w:ascii="Times New Roman" w:eastAsia="Calibri" w:hAnsi="Times New Roman" w:cs="Times New Roman"/>
          <w:kern w:val="0"/>
          <w:sz w:val="24"/>
          <w:szCs w:val="24"/>
          <w14:ligatures w14:val="none"/>
        </w:rPr>
        <w:t>).</w:t>
      </w:r>
      <w:r w:rsidRPr="0050122D">
        <w:rPr>
          <w:rFonts w:ascii="Times New Roman" w:eastAsia="Times New Roman" w:hAnsi="Times New Roman" w:cs="Times New Roman"/>
          <w:kern w:val="0"/>
          <w:sz w:val="24"/>
          <w:szCs w:val="24"/>
          <w:shd w:val="clear" w:color="auto" w:fill="FFFFFF"/>
          <w14:ligatures w14:val="none"/>
        </w:rPr>
        <w:t xml:space="preserve"> </w:t>
      </w:r>
      <w:r w:rsidRPr="0050122D">
        <w:rPr>
          <w:rFonts w:ascii="Times New Roman" w:eastAsia="Times New Roman" w:hAnsi="Times New Roman" w:cs="Times New Roman"/>
          <w:kern w:val="0"/>
          <w:sz w:val="24"/>
          <w:szCs w:val="24"/>
          <w14:ligatures w14:val="none"/>
        </w:rPr>
        <w:t>The test statistic Henze-Zirkler is specified as:</w:t>
      </w:r>
    </w:p>
    <w:p w14:paraId="7D0D318D"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m:oMath>
        <m:r>
          <w:rPr>
            <w:rFonts w:ascii="Cambria Math" w:eastAsia="Times New Roman" w:hAnsi="Cambria Math" w:cs="Times New Roman"/>
            <w:kern w:val="0"/>
            <w:sz w:val="24"/>
            <w:szCs w:val="24"/>
            <w14:ligatures w14:val="none"/>
          </w:rPr>
          <m:t>HZ</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1</m:t>
            </m:r>
          </m:num>
          <m:den>
            <m:r>
              <w:rPr>
                <w:rFonts w:ascii="Cambria Math" w:eastAsia="Times New Roman" w:hAnsi="Cambria Math" w:cs="Times New Roman"/>
                <w:kern w:val="0"/>
                <w:sz w:val="24"/>
                <w:szCs w:val="24"/>
                <w14:ligatures w14:val="none"/>
              </w:rPr>
              <m:t>n</m:t>
            </m:r>
          </m:den>
        </m:f>
      </m:oMath>
      <w:r w:rsidRPr="0050122D">
        <w:rPr>
          <w:rFonts w:ascii="Times New Roman" w:eastAsia="Times New Roman" w:hAnsi="Times New Roman" w:cs="Times New Roman"/>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n</m:t>
            </m:r>
          </m:sup>
          <m:e>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j=1</m:t>
                </m:r>
              </m:sub>
              <m:sup>
                <m:r>
                  <w:rPr>
                    <w:rFonts w:ascii="Cambria Math" w:eastAsia="Times New Roman" w:hAnsi="Cambria Math" w:cs="Times New Roman"/>
                    <w:kern w:val="0"/>
                    <w:sz w:val="24"/>
                    <w:szCs w:val="24"/>
                    <w14:ligatures w14:val="none"/>
                  </w:rPr>
                  <m:t>n</m:t>
                </m:r>
              </m:sup>
              <m:e>
                <m:r>
                  <w:rPr>
                    <w:rFonts w:ascii="Cambria Math" w:eastAsia="Times New Roman" w:hAnsi="Cambria Math" w:cs="Times New Roman"/>
                    <w:kern w:val="0"/>
                    <w:sz w:val="24"/>
                    <w:szCs w:val="24"/>
                    <w14:ligatures w14:val="none"/>
                  </w:rPr>
                  <m:t>exp</m:t>
                </m:r>
              </m:e>
            </m:nary>
          </m:e>
        </m:nary>
      </m:oMath>
      <w:r w:rsidRPr="0050122D">
        <w:rPr>
          <w:rFonts w:ascii="Times New Roman" w:eastAsia="Times New Roman" w:hAnsi="Times New Roman" w:cs="Times New Roman"/>
          <w:kern w:val="0"/>
          <w:sz w:val="24"/>
          <w:szCs w:val="24"/>
          <w14:ligatures w14:val="none"/>
        </w:rPr>
        <w:t xml:space="preserve"> </w:t>
      </w:r>
      <m:oMath>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m:t>
            </m:r>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1</m:t>
                </m:r>
              </m:num>
              <m:den>
                <m:r>
                  <w:rPr>
                    <w:rFonts w:ascii="Cambria Math" w:eastAsia="Times New Roman" w:hAnsi="Cambria Math" w:cs="Times New Roman"/>
                    <w:kern w:val="0"/>
                    <w:sz w:val="24"/>
                    <w:szCs w:val="24"/>
                    <w14:ligatures w14:val="none"/>
                  </w:rPr>
                  <m:t>2</m:t>
                </m:r>
              </m:den>
            </m:f>
            <w:bookmarkStart w:id="10" w:name="_Hlk174215653"/>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d</m:t>
                </m:r>
              </m:e>
              <m:sub>
                <m:r>
                  <w:rPr>
                    <w:rFonts w:ascii="Cambria Math" w:eastAsia="Times New Roman" w:hAnsi="Cambria Math" w:cs="Times New Roman"/>
                    <w:kern w:val="0"/>
                    <w:sz w:val="24"/>
                    <w:szCs w:val="24"/>
                    <w14:ligatures w14:val="none"/>
                  </w:rPr>
                  <m:t>ij</m:t>
                </m:r>
              </m:sub>
            </m:sSub>
            <w:bookmarkEnd w:id="10"/>
          </m:e>
        </m:d>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-2</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1+</m:t>
                </m:r>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1</m:t>
                    </m:r>
                  </m:num>
                  <m:den>
                    <m:r>
                      <w:rPr>
                        <w:rFonts w:ascii="Cambria Math" w:eastAsia="Times New Roman" w:hAnsi="Cambria Math" w:cs="Times New Roman"/>
                        <w:kern w:val="0"/>
                        <w:sz w:val="24"/>
                        <w:szCs w:val="24"/>
                        <w14:ligatures w14:val="none"/>
                      </w:rPr>
                      <m:t>2</m:t>
                    </m:r>
                  </m:den>
                </m:f>
              </m:e>
            </m:d>
          </m:e>
          <m:sup>
            <m:r>
              <w:rPr>
                <w:rFonts w:ascii="Cambria Math" w:eastAsia="Times New Roman" w:hAnsi="Cambria Math" w:cs="Times New Roman"/>
                <w:kern w:val="0"/>
                <w:sz w:val="24"/>
                <w:szCs w:val="24"/>
                <w14:ligatures w14:val="none"/>
              </w:rPr>
              <m:t>-p/2</m:t>
            </m:r>
          </m:sup>
        </m:sSup>
      </m:oMath>
      <w:r w:rsidRPr="0050122D">
        <w:rPr>
          <w:rFonts w:ascii="Times New Roman" w:eastAsia="Times New Roman" w:hAnsi="Times New Roman" w:cs="Times New Roman"/>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n</m:t>
            </m:r>
          </m:sup>
          <m:e>
            <m:r>
              <w:rPr>
                <w:rFonts w:ascii="Cambria Math" w:eastAsia="Times New Roman" w:hAnsi="Cambria Math" w:cs="Times New Roman"/>
                <w:kern w:val="0"/>
                <w:sz w:val="24"/>
                <w:szCs w:val="24"/>
                <w14:ligatures w14:val="none"/>
              </w:rPr>
              <m:t>exp</m:t>
            </m:r>
          </m:e>
        </m:nary>
      </m:oMath>
      <w:r w:rsidRPr="0050122D">
        <w:rPr>
          <w:rFonts w:ascii="Times New Roman" w:eastAsia="Times New Roman" w:hAnsi="Times New Roman" w:cs="Times New Roman"/>
          <w:kern w:val="0"/>
          <w:sz w:val="24"/>
          <w:szCs w:val="24"/>
          <w14:ligatures w14:val="none"/>
        </w:rPr>
        <w:t xml:space="preserve"> </w:t>
      </w:r>
      <m:oMath>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m:t>
            </m:r>
            <m:f>
              <m:fPr>
                <m:ctrlPr>
                  <w:rPr>
                    <w:rFonts w:ascii="Cambria Math" w:eastAsia="Times New Roman" w:hAnsi="Cambria Math" w:cs="Times New Roman"/>
                    <w:i/>
                    <w:kern w:val="0"/>
                    <w:sz w:val="24"/>
                    <w:szCs w:val="24"/>
                    <w14:ligatures w14:val="none"/>
                  </w:rPr>
                </m:ctrlPr>
              </m:fPr>
              <m:num>
                <m:r>
                  <w:rPr>
                    <w:rFonts w:ascii="Cambria Math" w:eastAsia="Times New Roman" w:hAnsi="Cambria Math" w:cs="Times New Roman"/>
                    <w:kern w:val="0"/>
                    <w:sz w:val="24"/>
                    <w:szCs w:val="24"/>
                    <w14:ligatures w14:val="none"/>
                  </w:rPr>
                  <m:t>1</m:t>
                </m:r>
              </m:num>
              <m:den>
                <m:r>
                  <w:rPr>
                    <w:rFonts w:ascii="Cambria Math" w:eastAsia="Times New Roman" w:hAnsi="Cambria Math" w:cs="Times New Roman"/>
                    <w:kern w:val="0"/>
                    <w:sz w:val="24"/>
                    <w:szCs w:val="24"/>
                    <w14:ligatures w14:val="none"/>
                  </w:rPr>
                  <m:t>4</m:t>
                </m:r>
              </m:den>
            </m:f>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d</m:t>
                </m:r>
              </m:e>
              <m:sub>
                <m:r>
                  <w:rPr>
                    <w:rFonts w:ascii="Cambria Math" w:eastAsia="Times New Roman" w:hAnsi="Cambria Math" w:cs="Times New Roman"/>
                    <w:kern w:val="0"/>
                    <w:sz w:val="24"/>
                    <w:szCs w:val="24"/>
                    <w14:ligatures w14:val="none"/>
                  </w:rPr>
                  <m:t>ii</m:t>
                </m:r>
              </m:sub>
            </m:sSub>
          </m:e>
        </m:d>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n</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1+1</m:t>
                </m:r>
              </m:e>
            </m:d>
          </m:e>
          <m:sup>
            <m:r>
              <w:rPr>
                <w:rFonts w:ascii="Cambria Math" w:eastAsia="Times New Roman" w:hAnsi="Cambria Math" w:cs="Times New Roman"/>
                <w:kern w:val="0"/>
                <w:sz w:val="24"/>
                <w:szCs w:val="24"/>
                <w14:ligatures w14:val="none"/>
              </w:rPr>
              <m:t>-p/2</m:t>
            </m:r>
          </m:sup>
        </m:sSup>
      </m:oMath>
      <w:r w:rsidRPr="0050122D">
        <w:rPr>
          <w:rFonts w:ascii="Times New Roman" w:eastAsia="Times New Roman" w:hAnsi="Times New Roman" w:cs="Times New Roman"/>
          <w:kern w:val="0"/>
          <w:sz w:val="24"/>
          <w:szCs w:val="24"/>
          <w14:ligatures w14:val="none"/>
        </w:rPr>
        <w:t xml:space="preserve"> ……..…(4)</w:t>
      </w:r>
    </w:p>
    <w:p w14:paraId="7E32E38F"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Where: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d</m:t>
            </m:r>
          </m:e>
          <m:sub>
            <m:r>
              <w:rPr>
                <w:rFonts w:ascii="Cambria Math" w:eastAsia="Times New Roman" w:hAnsi="Cambria Math" w:cs="Times New Roman"/>
                <w:kern w:val="0"/>
                <w:sz w:val="24"/>
                <w:szCs w:val="24"/>
                <w14:ligatures w14:val="none"/>
              </w:rPr>
              <m:t>ij</m:t>
            </m:r>
          </m:sub>
        </m:sSub>
      </m:oMath>
      <w:r w:rsidRPr="0050122D">
        <w:rPr>
          <w:rFonts w:ascii="Times New Roman" w:eastAsia="Times New Roman" w:hAnsi="Times New Roman" w:cs="Times New Roman"/>
          <w:kern w:val="0"/>
          <w:sz w:val="24"/>
          <w:szCs w:val="24"/>
          <w14:ligatures w14:val="none"/>
        </w:rPr>
        <w:t xml:space="preserve"> stands for the Mahalanobis distance between the </w:t>
      </w:r>
      <m:oMath>
        <m:r>
          <w:rPr>
            <w:rFonts w:ascii="Cambria Math" w:eastAsia="Times New Roman" w:hAnsi="Cambria Math" w:cs="Times New Roman"/>
            <w:kern w:val="0"/>
            <w:sz w:val="24"/>
            <w:szCs w:val="24"/>
            <w14:ligatures w14:val="none"/>
          </w:rPr>
          <m:t>i</m:t>
        </m:r>
      </m:oMath>
      <w:r w:rsidRPr="0050122D">
        <w:rPr>
          <w:rFonts w:ascii="Times New Roman" w:eastAsia="Times New Roman" w:hAnsi="Times New Roman" w:cs="Times New Roman"/>
          <w:kern w:val="0"/>
          <w:sz w:val="24"/>
          <w:szCs w:val="24"/>
          <w14:ligatures w14:val="none"/>
        </w:rPr>
        <w:t>-th and</w:t>
      </w:r>
      <m:oMath>
        <m:r>
          <w:rPr>
            <w:rFonts w:ascii="Cambria Math" w:eastAsia="Times New Roman" w:hAnsi="Cambria Math" w:cs="Times New Roman"/>
            <w:kern w:val="0"/>
            <w:sz w:val="24"/>
            <w:szCs w:val="24"/>
            <w14:ligatures w14:val="none"/>
          </w:rPr>
          <m:t xml:space="preserve"> j</m:t>
        </m:r>
      </m:oMath>
      <w:r w:rsidRPr="0050122D">
        <w:rPr>
          <w:rFonts w:ascii="Times New Roman" w:eastAsia="Times New Roman" w:hAnsi="Times New Roman" w:cs="Times New Roman"/>
          <w:kern w:val="0"/>
          <w:sz w:val="24"/>
          <w:szCs w:val="24"/>
          <w14:ligatures w14:val="none"/>
        </w:rPr>
        <w:t xml:space="preserve">-th observations: </w:t>
      </w:r>
    </w:p>
    <w:p w14:paraId="0150D02D" w14:textId="77777777" w:rsidR="0050122D" w:rsidRPr="0050122D" w:rsidRDefault="00ED6F44" w:rsidP="0050122D">
      <w:pPr>
        <w:spacing w:after="240" w:line="360" w:lineRule="auto"/>
        <w:jc w:val="both"/>
        <w:rPr>
          <w:rFonts w:ascii="Times New Roman" w:eastAsia="Times New Roman" w:hAnsi="Times New Roman" w:cs="Times New Roman"/>
          <w:kern w:val="0"/>
          <w:sz w:val="24"/>
          <w:szCs w:val="24"/>
          <w14:ligatures w14:val="none"/>
        </w:rPr>
      </w:pP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d</m:t>
            </m:r>
          </m:e>
          <m:sub>
            <m:r>
              <w:rPr>
                <w:rFonts w:ascii="Cambria Math" w:eastAsia="Times New Roman" w:hAnsi="Cambria Math" w:cs="Times New Roman"/>
                <w:kern w:val="0"/>
                <w:sz w:val="24"/>
                <w:szCs w:val="24"/>
                <w14:ligatures w14:val="none"/>
              </w:rPr>
              <m:t>ij</m:t>
            </m:r>
          </m:sub>
        </m:sSub>
        <m:r>
          <w:rPr>
            <w:rFonts w:ascii="Cambria Math" w:eastAsia="Times New Roman" w:hAnsi="Cambria Math" w:cs="Times New Roman"/>
            <w:kern w:val="0"/>
            <w:sz w:val="24"/>
            <w:szCs w:val="24"/>
            <w14:ligatures w14:val="none"/>
          </w:rPr>
          <m:t xml:space="preserve"> =</m:t>
        </m:r>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i</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j</m:t>
            </m:r>
          </m:sub>
        </m:sSub>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m:t>
            </m:r>
          </m:sup>
        </m:sSup>
      </m:oMath>
      <w:r w:rsidR="0050122D"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S</m:t>
            </m:r>
          </m:e>
          <m:sup>
            <m:r>
              <w:rPr>
                <w:rFonts w:ascii="Cambria Math" w:eastAsia="Times New Roman" w:hAnsi="Cambria Math" w:cs="Times New Roman"/>
                <w:kern w:val="0"/>
                <w:sz w:val="24"/>
                <w:szCs w:val="24"/>
                <w14:ligatures w14:val="none"/>
              </w:rPr>
              <m:t>-1</m:t>
            </m:r>
          </m:sup>
        </m:sSup>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i</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 xml:space="preserve">- </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X</m:t>
            </m:r>
          </m:e>
          <m:sub>
            <m:r>
              <w:rPr>
                <w:rFonts w:ascii="Cambria Math" w:eastAsia="Times New Roman" w:hAnsi="Cambria Math" w:cs="Times New Roman"/>
                <w:kern w:val="0"/>
                <w:sz w:val="24"/>
                <w:szCs w:val="24"/>
                <w14:ligatures w14:val="none"/>
              </w:rPr>
              <m:t>j</m:t>
            </m:r>
          </m:sub>
        </m:sSub>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…………………………………………….…………………...(5)</w:t>
      </w:r>
    </w:p>
    <w:p w14:paraId="144EFF21"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m:oMath>
        <m:r>
          <w:rPr>
            <w:rFonts w:ascii="Cambria Math" w:eastAsia="Times New Roman" w:hAnsi="Cambria Math" w:cs="Times New Roman"/>
            <w:kern w:val="0"/>
            <w:sz w:val="24"/>
            <w:szCs w:val="24"/>
            <w14:ligatures w14:val="none"/>
          </w:rPr>
          <m:t>p</m:t>
        </m:r>
      </m:oMath>
      <w:r w:rsidRPr="0050122D">
        <w:rPr>
          <w:rFonts w:ascii="Times New Roman" w:eastAsia="Times New Roman" w:hAnsi="Times New Roman" w:cs="Times New Roman"/>
          <w:kern w:val="0"/>
          <w:sz w:val="24"/>
          <w:szCs w:val="24"/>
          <w14:ligatures w14:val="none"/>
        </w:rPr>
        <w:t xml:space="preserve"> is the number of variables. </w:t>
      </w:r>
      <w:r w:rsidRPr="0050122D">
        <w:rPr>
          <w:rFonts w:ascii="Times New Roman" w:eastAsia="Calibri" w:hAnsi="Times New Roman" w:cs="Times New Roman"/>
          <w:kern w:val="0"/>
          <w:sz w:val="24"/>
          <w:szCs w:val="24"/>
          <w14:ligatures w14:val="none"/>
        </w:rPr>
        <w:t>The Doornik-Hansen test was formed by Jurgen A. Doornik and Henrik Hansen in 1994; this test is an extension of the Shapiro-Wilk test and is used for testing multivariate normality in the context of regression models.</w:t>
      </w:r>
      <w:r w:rsidRPr="0050122D">
        <w:rPr>
          <w:rFonts w:ascii="Times New Roman" w:eastAsia="Times New Roman" w:hAnsi="Times New Roman" w:cs="Times New Roman"/>
          <w:kern w:val="0"/>
          <w:sz w:val="24"/>
          <w:szCs w:val="24"/>
          <w14:ligatures w14:val="none"/>
        </w:rPr>
        <w:t xml:space="preserve"> The </w:t>
      </w:r>
      <w:bookmarkStart w:id="11" w:name="_Hlk174220132"/>
      <w:r w:rsidRPr="0050122D">
        <w:rPr>
          <w:rFonts w:ascii="Times New Roman" w:eastAsia="Times New Roman" w:hAnsi="Times New Roman" w:cs="Times New Roman"/>
          <w:kern w:val="0"/>
          <w:sz w:val="24"/>
          <w:szCs w:val="24"/>
          <w14:ligatures w14:val="none"/>
        </w:rPr>
        <w:t>Doornik-Hansen test</w:t>
      </w:r>
      <w:r w:rsidRPr="0050122D">
        <w:rPr>
          <w:rFonts w:ascii="Times New Roman" w:eastAsia="Calibri" w:hAnsi="Times New Roman" w:cs="Times New Roman"/>
          <w:kern w:val="0"/>
          <w:sz w:val="24"/>
          <w:szCs w:val="24"/>
          <w14:ligatures w14:val="none"/>
        </w:rPr>
        <w:t xml:space="preserve"> </w:t>
      </w:r>
      <w:bookmarkEnd w:id="11"/>
      <w:r w:rsidRPr="0050122D">
        <w:rPr>
          <w:rFonts w:ascii="Times New Roman" w:eastAsia="Calibri" w:hAnsi="Times New Roman" w:cs="Times New Roman"/>
          <w:kern w:val="0"/>
          <w:sz w:val="24"/>
          <w:szCs w:val="24"/>
          <w14:ligatures w14:val="none"/>
        </w:rPr>
        <w:t>combines skewness and kurtosis measures</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Calibri" w:hAnsi="Times New Roman" w:cs="Times New Roman"/>
          <w:kern w:val="0"/>
          <w:sz w:val="24"/>
          <w:szCs w:val="24"/>
          <w14:ligatures w14:val="none"/>
        </w:rPr>
        <w:t>and is used in econometric analyses (</w:t>
      </w:r>
      <w:r w:rsidRPr="0050122D">
        <w:rPr>
          <w:rFonts w:ascii="Times New Roman" w:eastAsia="Times New Roman" w:hAnsi="Times New Roman" w:cs="Times New Roman"/>
          <w:kern w:val="0"/>
          <w:sz w:val="24"/>
          <w:szCs w:val="24"/>
          <w14:ligatures w14:val="none"/>
        </w:rPr>
        <w:t xml:space="preserve">A-Mandah </w:t>
      </w:r>
      <w:bookmarkStart w:id="12" w:name="_Hlk174284978"/>
      <w:r w:rsidRPr="0050122D">
        <w:rPr>
          <w:rFonts w:ascii="Times New Roman" w:eastAsia="Times New Roman" w:hAnsi="Times New Roman" w:cs="Times New Roman"/>
          <w:i/>
          <w:iCs/>
          <w:kern w:val="0"/>
          <w:sz w:val="24"/>
          <w:szCs w:val="24"/>
          <w14:ligatures w14:val="none"/>
        </w:rPr>
        <w:t>et al.,</w:t>
      </w:r>
      <w:r w:rsidRPr="0050122D">
        <w:rPr>
          <w:rFonts w:ascii="Times New Roman" w:eastAsia="Times New Roman" w:hAnsi="Times New Roman" w:cs="Times New Roman"/>
          <w:kern w:val="0"/>
          <w:sz w:val="24"/>
          <w:szCs w:val="24"/>
          <w14:ligatures w14:val="none"/>
        </w:rPr>
        <w:t xml:space="preserve"> </w:t>
      </w:r>
      <w:bookmarkEnd w:id="12"/>
      <w:r w:rsidRPr="0050122D">
        <w:rPr>
          <w:rFonts w:ascii="Times New Roman" w:eastAsia="Times New Roman" w:hAnsi="Times New Roman" w:cs="Times New Roman"/>
          <w:kern w:val="0"/>
          <w:sz w:val="24"/>
          <w:szCs w:val="24"/>
          <w14:ligatures w14:val="none"/>
        </w:rPr>
        <w:t>2016</w:t>
      </w:r>
      <w:r w:rsidRPr="0050122D">
        <w:rPr>
          <w:rFonts w:ascii="Times New Roman" w:eastAsia="Calibri" w:hAnsi="Times New Roman" w:cs="Times New Roman"/>
          <w:kern w:val="0"/>
          <w:sz w:val="24"/>
          <w:szCs w:val="24"/>
          <w14:ligatures w14:val="none"/>
        </w:rPr>
        <w:t>).</w:t>
      </w:r>
      <w:r w:rsidRPr="0050122D">
        <w:rPr>
          <w:rFonts w:ascii="Times New Roman" w:eastAsia="Times New Roman" w:hAnsi="Times New Roman" w:cs="Times New Roman"/>
          <w:kern w:val="0"/>
          <w:sz w:val="24"/>
          <w:szCs w:val="24"/>
          <w14:ligatures w14:val="none"/>
        </w:rPr>
        <w:t xml:space="preserve"> The test statistic Doornik-Hansen (DH) test is given by: </w:t>
      </w:r>
    </w:p>
    <w:p w14:paraId="359E51FB"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m:oMath>
        <m:r>
          <w:rPr>
            <w:rFonts w:ascii="Cambria Math" w:eastAsia="Times New Roman" w:hAnsi="Cambria Math" w:cs="Times New Roman"/>
            <w:kern w:val="0"/>
            <w:sz w:val="24"/>
            <w:szCs w:val="24"/>
            <w14:ligatures w14:val="none"/>
          </w:rPr>
          <m:t>DH</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-2</m:t>
        </m:r>
      </m:oMath>
      <w:r w:rsidRPr="0050122D">
        <w:rPr>
          <w:rFonts w:ascii="Times New Roman" w:eastAsia="Times New Roman" w:hAnsi="Times New Roman" w:cs="Times New Roman"/>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p</m:t>
            </m:r>
          </m:sup>
          <m:e>
            <m:r>
              <m:rPr>
                <m:sty m:val="p"/>
              </m:rPr>
              <w:rPr>
                <w:rFonts w:ascii="Cambria Math" w:eastAsia="Times New Roman" w:hAnsi="Cambria Math" w:cs="Times New Roman"/>
                <w:kern w:val="0"/>
                <w:sz w:val="24"/>
                <w:szCs w:val="24"/>
                <w14:ligatures w14:val="none"/>
              </w:rPr>
              <m:t>log</m:t>
            </m:r>
          </m:e>
        </m:nary>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W</m:t>
            </m:r>
          </m:e>
          <m:sub>
            <m:r>
              <w:rPr>
                <w:rFonts w:ascii="Cambria Math" w:eastAsia="Times New Roman" w:hAnsi="Cambria Math" w:cs="Times New Roman"/>
                <w:kern w:val="0"/>
                <w:sz w:val="24"/>
                <w:szCs w:val="24"/>
                <w14:ligatures w14:val="none"/>
              </w:rPr>
              <m:t>i</m:t>
            </m:r>
          </m:sub>
        </m:sSub>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……………………………………………………………….……...…(6)</w:t>
      </w:r>
    </w:p>
    <w:p w14:paraId="15BBE9FB"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Where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W</m:t>
            </m:r>
          </m:e>
          <m:sub>
            <m:r>
              <w:rPr>
                <w:rFonts w:ascii="Cambria Math" w:eastAsia="Times New Roman" w:hAnsi="Cambria Math" w:cs="Times New Roman"/>
                <w:kern w:val="0"/>
                <w:sz w:val="24"/>
                <w:szCs w:val="24"/>
                <w14:ligatures w14:val="none"/>
              </w:rPr>
              <m:t>i</m:t>
            </m:r>
          </m:sub>
        </m:sSub>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are the individual p-values for skewness and kurtosis tests, and </w:t>
      </w:r>
      <m:oMath>
        <m:r>
          <w:rPr>
            <w:rFonts w:ascii="Cambria Math" w:eastAsia="Times New Roman" w:hAnsi="Cambria Math" w:cs="Times New Roman"/>
            <w:kern w:val="0"/>
            <w:sz w:val="24"/>
            <w:szCs w:val="24"/>
            <w14:ligatures w14:val="none"/>
          </w:rPr>
          <m:t>p</m:t>
        </m:r>
      </m:oMath>
      <w:r w:rsidRPr="0050122D">
        <w:rPr>
          <w:rFonts w:ascii="Times New Roman" w:eastAsia="Times New Roman" w:hAnsi="Times New Roman" w:cs="Times New Roman"/>
          <w:kern w:val="0"/>
          <w:sz w:val="24"/>
          <w:szCs w:val="24"/>
          <w14:ligatures w14:val="none"/>
        </w:rPr>
        <w:t xml:space="preserve"> is the number of variables. The </w:t>
      </w:r>
      <m:oMath>
        <m:r>
          <w:rPr>
            <w:rFonts w:ascii="Cambria Math" w:eastAsia="Times New Roman" w:hAnsi="Cambria Math" w:cs="Times New Roman"/>
            <w:kern w:val="0"/>
            <w:sz w:val="24"/>
            <w:szCs w:val="24"/>
            <w14:ligatures w14:val="none"/>
          </w:rPr>
          <m:t>DH</m:t>
        </m:r>
      </m:oMath>
      <w:r w:rsidRPr="0050122D">
        <w:rPr>
          <w:rFonts w:ascii="Times New Roman" w:eastAsia="Times New Roman" w:hAnsi="Times New Roman" w:cs="Times New Roman"/>
          <w:kern w:val="0"/>
          <w:sz w:val="24"/>
          <w:szCs w:val="24"/>
          <w14:ligatures w14:val="none"/>
        </w:rPr>
        <w:t xml:space="preserve"> statistic follows a chi-square distribution with </w:t>
      </w:r>
      <m:oMath>
        <m:r>
          <w:rPr>
            <w:rFonts w:ascii="Cambria Math" w:eastAsia="Times New Roman" w:hAnsi="Cambria Math" w:cs="Times New Roman"/>
            <w:kern w:val="0"/>
            <w:sz w:val="24"/>
            <w:szCs w:val="24"/>
            <w14:ligatures w14:val="none"/>
          </w:rPr>
          <m:t>2p</m:t>
        </m:r>
      </m:oMath>
      <w:r w:rsidRPr="0050122D">
        <w:rPr>
          <w:rFonts w:ascii="Times New Roman" w:eastAsia="Times New Roman" w:hAnsi="Times New Roman" w:cs="Times New Roman"/>
          <w:kern w:val="0"/>
          <w:sz w:val="24"/>
          <w:szCs w:val="24"/>
          <w14:ligatures w14:val="none"/>
        </w:rPr>
        <w:t xml:space="preserve"> degrees of freedom. </w:t>
      </w:r>
    </w:p>
    <w:p w14:paraId="650C119B"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The decision rule for the multivariate normality tests is that if the p-value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α (1%, 5%, or 10%), this suggests that the data does not </w:t>
      </w:r>
      <w:bookmarkStart w:id="13" w:name="_Hlk174222233"/>
      <w:r w:rsidRPr="0050122D">
        <w:rPr>
          <w:rFonts w:ascii="Times New Roman" w:eastAsia="Times New Roman" w:hAnsi="Times New Roman" w:cs="Times New Roman"/>
          <w:kern w:val="0"/>
          <w:sz w:val="24"/>
          <w:szCs w:val="24"/>
          <w14:ligatures w14:val="none"/>
        </w:rPr>
        <w:t xml:space="preserve">have a multivariate normal </w:t>
      </w:r>
      <w:bookmarkEnd w:id="13"/>
      <w:r w:rsidRPr="0050122D">
        <w:rPr>
          <w:rFonts w:ascii="Times New Roman" w:eastAsia="Times New Roman" w:hAnsi="Times New Roman" w:cs="Times New Roman"/>
          <w:kern w:val="0"/>
          <w:sz w:val="24"/>
          <w:szCs w:val="24"/>
          <w14:ligatures w14:val="none"/>
        </w:rPr>
        <w:t>distribution. This study is of the view that if at least one of the multivariate normal distribution tests suggests that the data deviates from normality, it is crucial to conclude that the normality assumption might not hold.</w:t>
      </w:r>
    </w:p>
    <w:bookmarkEnd w:id="4"/>
    <w:p w14:paraId="1B0C55D5" w14:textId="02CEAF50" w:rsidR="0050122D" w:rsidRPr="0050122D" w:rsidRDefault="0050122D" w:rsidP="0050122D">
      <w:pPr>
        <w:keepNext/>
        <w:numPr>
          <w:ilvl w:val="2"/>
          <w:numId w:val="0"/>
        </w:numPr>
        <w:spacing w:before="120" w:after="0" w:line="360" w:lineRule="auto"/>
        <w:ind w:left="851" w:hanging="851"/>
        <w:jc w:val="both"/>
        <w:rPr>
          <w:rFonts w:ascii="Times New Roman" w:eastAsia="Calibri" w:hAnsi="Times New Roman" w:cs="Times New Roman"/>
          <w:b/>
          <w:bCs/>
          <w:iCs/>
          <w:kern w:val="0"/>
          <w:sz w:val="24"/>
          <w:szCs w:val="24"/>
          <w14:ligatures w14:val="none"/>
        </w:rPr>
      </w:pPr>
      <w:r w:rsidRPr="0050122D">
        <w:rPr>
          <w:rFonts w:ascii="Times New Roman" w:eastAsia="Calibri" w:hAnsi="Times New Roman" w:cs="Times New Roman"/>
          <w:b/>
          <w:bCs/>
          <w:iCs/>
          <w:kern w:val="0"/>
          <w:sz w:val="24"/>
          <w:szCs w:val="24"/>
          <w14:ligatures w14:val="none"/>
        </w:rPr>
        <w:t>3.</w:t>
      </w:r>
      <w:r w:rsidR="002D3516">
        <w:rPr>
          <w:rFonts w:ascii="Times New Roman" w:eastAsia="Calibri" w:hAnsi="Times New Roman" w:cs="Times New Roman"/>
          <w:b/>
          <w:bCs/>
          <w:iCs/>
          <w:kern w:val="0"/>
          <w:sz w:val="24"/>
          <w:szCs w:val="24"/>
          <w14:ligatures w14:val="none"/>
        </w:rPr>
        <w:t>3</w:t>
      </w:r>
      <w:r w:rsidRPr="0050122D">
        <w:rPr>
          <w:rFonts w:ascii="Times New Roman" w:eastAsia="Calibri" w:hAnsi="Times New Roman" w:cs="Times New Roman"/>
          <w:b/>
          <w:bCs/>
          <w:iCs/>
          <w:kern w:val="0"/>
          <w:sz w:val="24"/>
          <w:szCs w:val="24"/>
          <w14:ligatures w14:val="none"/>
        </w:rPr>
        <w:t xml:space="preserve"> Data sources</w:t>
      </w:r>
    </w:p>
    <w:p w14:paraId="43457CC8" w14:textId="77777777" w:rsidR="0050122D" w:rsidRPr="0050122D" w:rsidRDefault="0050122D" w:rsidP="0050122D">
      <w:pPr>
        <w:spacing w:after="240" w:line="360" w:lineRule="auto"/>
        <w:jc w:val="both"/>
        <w:rPr>
          <w:rFonts w:ascii="Times New Roman" w:eastAsia="Calibri" w:hAnsi="Times New Roman" w:cs="Times New Roman"/>
          <w:iCs/>
          <w:kern w:val="0"/>
          <w:sz w:val="24"/>
          <w:szCs w:val="24"/>
          <w14:ligatures w14:val="none"/>
        </w:rPr>
      </w:pPr>
      <w:r w:rsidRPr="0050122D">
        <w:rPr>
          <w:rFonts w:ascii="Times New Roman" w:eastAsia="Calibri" w:hAnsi="Times New Roman" w:cs="Times New Roman"/>
          <w:iCs/>
          <w:kern w:val="0"/>
          <w:sz w:val="24"/>
          <w:szCs w:val="24"/>
          <w14:ligatures w14:val="none"/>
        </w:rPr>
        <w:t>The data for the variables that were examined in this study were extracted from the SARB database. Due to the limited number of quarterly data available in South Africa, this study used annual data starting from 1994 up to 2023 with 30 observations. This study period was chosen to check the impact of PAYE tax on household consumption after the first South African democratic election and after the economic devastation caused by the Covid-19 pandemic, hence, using the estimation of the QARDL regression model to check the effect of PAYE tax on household consumption during the specified study period.</w:t>
      </w:r>
    </w:p>
    <w:p w14:paraId="5BD0EB88" w14:textId="77835006" w:rsidR="0050122D" w:rsidRPr="0050122D" w:rsidRDefault="0050122D" w:rsidP="0050122D">
      <w:pPr>
        <w:keepNext/>
        <w:spacing w:before="120" w:after="0" w:line="360" w:lineRule="auto"/>
        <w:ind w:left="851" w:hanging="851"/>
        <w:jc w:val="both"/>
        <w:rPr>
          <w:rFonts w:ascii="Times New Roman" w:eastAsia="Calibri" w:hAnsi="Times New Roman" w:cs="Times New Roman"/>
          <w:b/>
          <w:bCs/>
          <w:kern w:val="0"/>
          <w:sz w:val="24"/>
          <w:szCs w:val="24"/>
          <w14:ligatures w14:val="none"/>
        </w:rPr>
      </w:pPr>
      <w:bookmarkStart w:id="14" w:name="_Toc180249505"/>
      <w:bookmarkStart w:id="15" w:name="_Toc183161988"/>
      <w:r w:rsidRPr="0050122D">
        <w:rPr>
          <w:rFonts w:ascii="Times New Roman" w:eastAsia="Calibri" w:hAnsi="Times New Roman" w:cs="Times New Roman"/>
          <w:b/>
          <w:bCs/>
          <w:kern w:val="0"/>
          <w:sz w:val="24"/>
          <w:szCs w:val="24"/>
          <w14:ligatures w14:val="none"/>
        </w:rPr>
        <w:t>3.</w:t>
      </w:r>
      <w:r w:rsidR="002D3516">
        <w:rPr>
          <w:rFonts w:ascii="Times New Roman" w:eastAsia="Calibri" w:hAnsi="Times New Roman" w:cs="Times New Roman"/>
          <w:b/>
          <w:bCs/>
          <w:kern w:val="0"/>
          <w:sz w:val="24"/>
          <w:szCs w:val="24"/>
          <w14:ligatures w14:val="none"/>
        </w:rPr>
        <w:t>4</w:t>
      </w:r>
      <w:r w:rsidRPr="0050122D">
        <w:rPr>
          <w:rFonts w:ascii="Times New Roman" w:eastAsia="Calibri" w:hAnsi="Times New Roman" w:cs="Times New Roman"/>
          <w:b/>
          <w:bCs/>
          <w:kern w:val="0"/>
          <w:sz w:val="24"/>
          <w:szCs w:val="24"/>
          <w14:ligatures w14:val="none"/>
        </w:rPr>
        <w:t xml:space="preserve"> </w:t>
      </w:r>
      <w:bookmarkStart w:id="16" w:name="_Toc180249506"/>
      <w:bookmarkStart w:id="17" w:name="_Toc183161992"/>
      <w:bookmarkEnd w:id="14"/>
      <w:bookmarkEnd w:id="15"/>
      <w:r w:rsidRPr="0050122D">
        <w:rPr>
          <w:rFonts w:ascii="Times New Roman" w:eastAsia="Calibri" w:hAnsi="Times New Roman" w:cs="Times New Roman"/>
          <w:b/>
          <w:bCs/>
          <w:kern w:val="0"/>
          <w:sz w:val="24"/>
          <w:szCs w:val="24"/>
          <w14:ligatures w14:val="none"/>
        </w:rPr>
        <w:t>Quantile unit root test</w:t>
      </w:r>
    </w:p>
    <w:p w14:paraId="78E8A94D"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bookmarkStart w:id="18" w:name="_Toc183627132"/>
      <w:r w:rsidRPr="0050122D">
        <w:rPr>
          <w:rFonts w:ascii="Times New Roman" w:eastAsia="Calibri" w:hAnsi="Times New Roman" w:cs="Times New Roman"/>
          <w:kern w:val="0"/>
          <w:sz w:val="24"/>
          <w:szCs w:val="24"/>
          <w14:ligatures w14:val="none"/>
        </w:rPr>
        <w:t>The quantile Augmented Dickey-Fuller (QADF) and</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Calibri" w:hAnsi="Times New Roman" w:cs="Times New Roman"/>
          <w:kern w:val="0"/>
          <w:sz w:val="24"/>
          <w:szCs w:val="24"/>
          <w14:ligatures w14:val="none"/>
        </w:rPr>
        <w:t>quantile Phillips-Perron test (QPP) tests for unit root analyses were estimated in this study, instead of standard unit root tests such as ADF and PP, since the data is not normally distributed. The quantile unit root methods provide more robust inference and avoid biased results</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Calibri" w:hAnsi="Times New Roman" w:cs="Times New Roman"/>
          <w:kern w:val="0"/>
          <w:sz w:val="24"/>
          <w:szCs w:val="24"/>
          <w14:ligatures w14:val="none"/>
        </w:rPr>
        <w:t xml:space="preserve">Koenker &amp; Xiao, 2004; Anwar </w:t>
      </w:r>
      <w:r w:rsidRPr="0050122D">
        <w:rPr>
          <w:rFonts w:ascii="Times New Roman" w:eastAsia="Times New Roman" w:hAnsi="Times New Roman" w:cs="Times New Roman"/>
          <w:i/>
          <w:iCs/>
          <w:kern w:val="0"/>
          <w:sz w:val="24"/>
          <w:szCs w:val="24"/>
          <w14:ligatures w14:val="none"/>
        </w:rPr>
        <w:t>et al.,</w:t>
      </w:r>
      <w:r w:rsidRPr="0050122D">
        <w:rPr>
          <w:rFonts w:ascii="Times New Roman" w:eastAsia="Calibri" w:hAnsi="Times New Roman" w:cs="Times New Roman"/>
          <w:kern w:val="0"/>
          <w:sz w:val="24"/>
          <w:szCs w:val="24"/>
          <w14:ligatures w14:val="none"/>
        </w:rPr>
        <w:t xml:space="preserve"> 2021). </w:t>
      </w:r>
    </w:p>
    <w:p w14:paraId="10B3FA91" w14:textId="292B053B" w:rsidR="0050122D" w:rsidRPr="002D3516" w:rsidRDefault="0050122D" w:rsidP="002D3516">
      <w:pPr>
        <w:pStyle w:val="ListParagraph"/>
        <w:keepNext/>
        <w:numPr>
          <w:ilvl w:val="2"/>
          <w:numId w:val="44"/>
        </w:numPr>
        <w:spacing w:before="120" w:after="0" w:line="360" w:lineRule="auto"/>
        <w:jc w:val="both"/>
        <w:outlineLvl w:val="3"/>
        <w:rPr>
          <w:rFonts w:ascii="Times New Roman" w:eastAsia="Calibri" w:hAnsi="Times New Roman" w:cs="Times New Roman"/>
          <w:b/>
          <w:bCs/>
          <w:kern w:val="0"/>
          <w:sz w:val="24"/>
          <w:szCs w:val="24"/>
          <w:lang w:val="en-US" w:eastAsia="en-ZA"/>
          <w14:ligatures w14:val="none"/>
        </w:rPr>
      </w:pPr>
      <w:bookmarkStart w:id="19" w:name="_Toc183627143"/>
      <w:bookmarkEnd w:id="18"/>
      <w:r w:rsidRPr="002D3516">
        <w:rPr>
          <w:rFonts w:ascii="Times New Roman" w:eastAsia="Calibri" w:hAnsi="Times New Roman" w:cs="Times New Roman"/>
          <w:b/>
          <w:bCs/>
          <w:kern w:val="0"/>
          <w:sz w:val="24"/>
          <w:szCs w:val="24"/>
          <w:lang w:val="en-US" w:eastAsia="en-ZA"/>
          <w14:ligatures w14:val="none"/>
        </w:rPr>
        <w:t>Quantile Augmented Dickey-Fuller test</w:t>
      </w:r>
      <w:bookmarkEnd w:id="19"/>
    </w:p>
    <w:p w14:paraId="63A04F6F"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bookmarkStart w:id="20" w:name="_Hlk174290790"/>
      <w:r w:rsidRPr="0050122D">
        <w:rPr>
          <w:rFonts w:ascii="Times New Roman" w:eastAsia="Calibri" w:hAnsi="Times New Roman" w:cs="Times New Roman"/>
          <w:kern w:val="0"/>
          <w:sz w:val="24"/>
          <w:szCs w:val="24"/>
          <w14:ligatures w14:val="none"/>
        </w:rPr>
        <w:t>The QADF test is an extension of the traditional ADF test. The quantile unit root test is designed to improve unit root detection</w:t>
      </w:r>
      <w:r w:rsidRPr="0050122D">
        <w:rPr>
          <w:rFonts w:ascii="Times New Roman" w:eastAsia="Times New Roman" w:hAnsi="Times New Roman" w:cs="Times New Roman"/>
          <w:kern w:val="0"/>
          <w:sz w:val="24"/>
          <w:szCs w:val="24"/>
          <w14:ligatures w14:val="none"/>
        </w:rPr>
        <w:t xml:space="preserve"> by </w:t>
      </w:r>
      <w:r w:rsidRPr="0050122D">
        <w:rPr>
          <w:rFonts w:ascii="Times New Roman" w:eastAsia="Calibri" w:hAnsi="Times New Roman" w:cs="Times New Roman"/>
          <w:kern w:val="0"/>
          <w:sz w:val="24"/>
          <w:szCs w:val="24"/>
          <w14:ligatures w14:val="none"/>
        </w:rPr>
        <w:t xml:space="preserve">dealing with outliers in time series </w:t>
      </w:r>
      <w:r w:rsidRPr="0050122D">
        <w:rPr>
          <w:rFonts w:ascii="Times New Roman" w:eastAsia="Times New Roman" w:hAnsi="Times New Roman" w:cs="Times New Roman"/>
          <w:kern w:val="0"/>
          <w:sz w:val="24"/>
          <w:szCs w:val="24"/>
          <w14:ligatures w14:val="none"/>
        </w:rPr>
        <w:t>(</w:t>
      </w:r>
      <w:r w:rsidRPr="0050122D">
        <w:rPr>
          <w:rFonts w:ascii="Times New Roman" w:eastAsia="Calibri" w:hAnsi="Times New Roman" w:cs="Times New Roman"/>
          <w:kern w:val="0"/>
          <w:sz w:val="24"/>
          <w:szCs w:val="24"/>
          <w14:ligatures w14:val="none"/>
        </w:rPr>
        <w:t xml:space="preserve">Kuo, 2016; </w:t>
      </w:r>
      <w:bookmarkStart w:id="21" w:name="_Hlk174306621"/>
      <w:r w:rsidRPr="0050122D">
        <w:rPr>
          <w:rFonts w:ascii="Times New Roman" w:eastAsia="Times New Roman" w:hAnsi="Times New Roman" w:cs="Times New Roman"/>
          <w:kern w:val="0"/>
          <w:sz w:val="24"/>
          <w:szCs w:val="24"/>
          <w:shd w:val="clear" w:color="auto" w:fill="FFFFFF"/>
          <w14:ligatures w14:val="none"/>
        </w:rPr>
        <w:t>Koenker &amp; Xiao, 2004</w:t>
      </w:r>
      <w:bookmarkEnd w:id="21"/>
      <w:r w:rsidRPr="0050122D">
        <w:rPr>
          <w:rFonts w:ascii="Times New Roman" w:eastAsia="Times New Roman" w:hAnsi="Times New Roman" w:cs="Times New Roman"/>
          <w:kern w:val="0"/>
          <w:sz w:val="24"/>
          <w:szCs w:val="24"/>
          <w:shd w:val="clear" w:color="auto" w:fill="FFFFFF"/>
          <w14:ligatures w14:val="none"/>
        </w:rPr>
        <w:t xml:space="preserve">; Galvao, 2009; </w:t>
      </w:r>
      <w:r w:rsidRPr="0050122D">
        <w:rPr>
          <w:rFonts w:ascii="Times New Roman" w:eastAsia="Calibri" w:hAnsi="Times New Roman" w:cs="Times New Roman"/>
          <w:kern w:val="0"/>
          <w:sz w:val="24"/>
          <w:szCs w:val="24"/>
          <w14:ligatures w14:val="none"/>
        </w:rPr>
        <w:t xml:space="preserve">Bahmani-Oskooee &amp; Ranjbar, 2016). In other words, the QADF test generalizes the ADF test to different quantiles </w:t>
      </w:r>
      <m:oMath>
        <m:r>
          <w:rPr>
            <w:rFonts w:ascii="Cambria Math" w:eastAsia="Calibri" w:hAnsi="Cambria Math" w:cs="Times New Roman"/>
            <w:kern w:val="0"/>
            <w:sz w:val="24"/>
            <w:szCs w:val="24"/>
            <w14:ligatures w14:val="none"/>
          </w:rPr>
          <m:t>τ</m:t>
        </m:r>
      </m:oMath>
      <w:r w:rsidRPr="0050122D">
        <w:rPr>
          <w:rFonts w:ascii="Times New Roman" w:eastAsia="Calibri" w:hAnsi="Times New Roman" w:cs="Times New Roman"/>
          <w:kern w:val="0"/>
          <w:sz w:val="24"/>
          <w:szCs w:val="24"/>
          <w14:ligatures w14:val="none"/>
        </w:rPr>
        <w:t xml:space="preserve"> of the conditional distribution of the time series.</w:t>
      </w:r>
      <w:r w:rsidRPr="0050122D">
        <w:rPr>
          <w:rFonts w:ascii="Times New Roman" w:eastAsia="Times New Roman" w:hAnsi="Times New Roman" w:cs="Times New Roman"/>
          <w:kern w:val="0"/>
          <w:sz w:val="24"/>
          <w:szCs w:val="24"/>
          <w14:ligatures w14:val="none"/>
        </w:rPr>
        <w:t xml:space="preserve"> Thus, this study followed the unit root test based on quantile regression proposed by Koenker and Xiao (2004). </w:t>
      </w:r>
      <w:r w:rsidRPr="0050122D">
        <w:rPr>
          <w:rFonts w:ascii="Times New Roman" w:eastAsia="Calibri" w:hAnsi="Times New Roman" w:cs="Times New Roman"/>
          <w:kern w:val="0"/>
          <w:sz w:val="24"/>
          <w:szCs w:val="24"/>
          <w14:ligatures w14:val="none"/>
        </w:rPr>
        <w:t xml:space="preserve">The basic form of the QADF test equation estimated in this study for a given quantile </w:t>
      </w:r>
      <m:oMath>
        <m:r>
          <w:rPr>
            <w:rFonts w:ascii="Cambria Math" w:eastAsia="Calibri" w:hAnsi="Cambria Math" w:cs="Times New Roman"/>
            <w:kern w:val="0"/>
            <w:sz w:val="24"/>
            <w:szCs w:val="24"/>
            <w14:ligatures w14:val="none"/>
          </w:rPr>
          <m:t>τ</m:t>
        </m:r>
      </m:oMath>
      <w:r w:rsidRPr="0050122D">
        <w:rPr>
          <w:rFonts w:ascii="Times New Roman" w:eastAsia="Calibri" w:hAnsi="Times New Roman" w:cs="Times New Roman"/>
          <w:kern w:val="0"/>
          <w:sz w:val="24"/>
          <w:szCs w:val="24"/>
          <w14:ligatures w14:val="none"/>
        </w:rPr>
        <w:t xml:space="preserve"> is: </w:t>
      </w:r>
    </w:p>
    <w:p w14:paraId="18144F76"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m:oMath>
        <m:r>
          <w:rPr>
            <w:rFonts w:ascii="Cambria Math" w:eastAsia="Calibri" w:hAnsi="Cambria Math" w:cs="Times New Roman"/>
            <w:kern w:val="0"/>
            <w:sz w:val="24"/>
            <w:szCs w:val="24"/>
            <w14:ligatures w14:val="none"/>
          </w:rPr>
          <m:t>∆</m:t>
        </m:r>
        <m:sSubSup>
          <m:sSubSupPr>
            <m:ctrlPr>
              <w:rPr>
                <w:rFonts w:ascii="Cambria Math" w:eastAsia="Calibri" w:hAnsi="Cambria Math" w:cs="Times New Roman"/>
                <w:i/>
                <w:kern w:val="0"/>
                <w:sz w:val="24"/>
                <w:szCs w:val="24"/>
                <w14:ligatures w14:val="none"/>
              </w:rPr>
            </m:ctrlPr>
          </m:sSubSupPr>
          <m:e>
            <m:r>
              <w:rPr>
                <w:rFonts w:ascii="Cambria Math" w:eastAsia="Calibri" w:hAnsi="Cambria Math" w:cs="Times New Roman"/>
                <w:kern w:val="0"/>
                <w:sz w:val="24"/>
                <w:szCs w:val="24"/>
                <w14:ligatures w14:val="none"/>
              </w:rPr>
              <m:t>y</m:t>
            </m:r>
          </m:e>
          <m:sub>
            <m:r>
              <w:rPr>
                <w:rFonts w:ascii="Cambria Math" w:eastAsia="Calibri" w:hAnsi="Cambria Math" w:cs="Times New Roman"/>
                <w:kern w:val="0"/>
                <w:sz w:val="24"/>
                <w:szCs w:val="24"/>
                <w14:ligatures w14:val="none"/>
              </w:rPr>
              <m:t>t</m:t>
            </m:r>
          </m:sub>
          <m:sup>
            <m:r>
              <w:rPr>
                <w:rFonts w:ascii="Cambria Math" w:eastAsia="Calibri" w:hAnsi="Cambria Math" w:cs="Times New Roman"/>
                <w:kern w:val="0"/>
                <w:sz w:val="24"/>
                <w:szCs w:val="24"/>
                <w14:ligatures w14:val="none"/>
              </w:rPr>
              <m:t>(τ)</m:t>
            </m:r>
          </m:sup>
        </m:sSub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α</m:t>
            </m:r>
          </m:e>
          <m:sup>
            <m:r>
              <w:rPr>
                <w:rFonts w:ascii="Cambria Math" w:eastAsia="Times New Roman" w:hAnsi="Cambria Math" w:cs="Times New Roman"/>
                <w:kern w:val="0"/>
                <w:sz w:val="24"/>
                <w:szCs w:val="24"/>
                <w14:ligatures w14:val="none"/>
              </w:rPr>
              <m:t>(τ)</m:t>
            </m:r>
          </m:sup>
        </m:s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β</m:t>
            </m:r>
          </m:e>
          <m:sup>
            <m:r>
              <w:rPr>
                <w:rFonts w:ascii="Cambria Math" w:eastAsia="Times New Roman" w:hAnsi="Cambria Math" w:cs="Times New Roman"/>
                <w:kern w:val="0"/>
                <w:sz w:val="24"/>
                <w:szCs w:val="24"/>
                <w14:ligatures w14:val="none"/>
              </w:rPr>
              <m:t>(τ)</m:t>
            </m:r>
          </m:sup>
        </m:s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t</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γ</m:t>
            </m:r>
          </m:e>
          <m:sup>
            <m:r>
              <w:rPr>
                <w:rFonts w:ascii="Cambria Math" w:eastAsia="Times New Roman" w:hAnsi="Cambria Math" w:cs="Times New Roman"/>
                <w:kern w:val="0"/>
                <w:sz w:val="24"/>
                <w:szCs w:val="24"/>
                <w14:ligatures w14:val="none"/>
              </w:rPr>
              <m:t>(τ)</m:t>
            </m:r>
          </m:sup>
        </m:sSup>
      </m:oMath>
      <w:r w:rsidRPr="0050122D">
        <w:rPr>
          <w:rFonts w:ascii="Times New Roman" w:eastAsia="Times New Roman" w:hAnsi="Times New Roman" w:cs="Times New Roman"/>
          <w:kern w:val="0"/>
          <w:sz w:val="24"/>
          <w:szCs w:val="24"/>
          <w14:ligatures w14:val="none"/>
        </w:rPr>
        <w:t xml:space="preserve"> </w:t>
      </w:r>
      <m:oMath>
        <m:sSubSup>
          <m:sSubSupPr>
            <m:ctrlPr>
              <w:rPr>
                <w:rFonts w:ascii="Cambria Math" w:eastAsia="Times New Roman" w:hAnsi="Cambria Math" w:cs="Times New Roman"/>
                <w:i/>
                <w:kern w:val="0"/>
                <w:sz w:val="24"/>
                <w:szCs w:val="24"/>
                <w14:ligatures w14:val="none"/>
              </w:rPr>
            </m:ctrlPr>
          </m:sSubSupPr>
          <m:e>
            <m:r>
              <w:rPr>
                <w:rFonts w:ascii="Cambria Math" w:eastAsia="Times New Roman" w:hAnsi="Cambria Math" w:cs="Times New Roman"/>
                <w:kern w:val="0"/>
                <w:sz w:val="24"/>
                <w:szCs w:val="24"/>
                <w14:ligatures w14:val="none"/>
              </w:rPr>
              <m:t>y</m:t>
            </m:r>
          </m:e>
          <m:sub>
            <m:r>
              <w:rPr>
                <w:rFonts w:ascii="Cambria Math" w:eastAsia="Times New Roman" w:hAnsi="Cambria Math" w:cs="Times New Roman"/>
                <w:kern w:val="0"/>
                <w:sz w:val="24"/>
                <w:szCs w:val="24"/>
                <w14:ligatures w14:val="none"/>
              </w:rPr>
              <m:t>t-1</m:t>
            </m:r>
          </m:sub>
          <m:sup>
            <m:r>
              <w:rPr>
                <w:rFonts w:ascii="Cambria Math" w:eastAsia="Times New Roman" w:hAnsi="Cambria Math" w:cs="Times New Roman"/>
                <w:kern w:val="0"/>
                <w:sz w:val="24"/>
                <w:szCs w:val="24"/>
                <w14:ligatures w14:val="none"/>
              </w:rPr>
              <m:t>(τ)</m:t>
            </m:r>
          </m:sup>
        </m:sSub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p</m:t>
            </m:r>
          </m:sup>
          <m:e>
            <m:sSubSup>
              <m:sSubSupPr>
                <m:ctrlPr>
                  <w:rPr>
                    <w:rFonts w:ascii="Cambria Math" w:eastAsia="Times New Roman" w:hAnsi="Cambria Math" w:cs="Times New Roman"/>
                    <w:i/>
                    <w:kern w:val="0"/>
                    <w:sz w:val="24"/>
                    <w:szCs w:val="24"/>
                    <w14:ligatures w14:val="none"/>
                  </w:rPr>
                </m:ctrlPr>
              </m:sSubSupPr>
              <m:e>
                <m:r>
                  <w:rPr>
                    <w:rFonts w:ascii="Cambria Math" w:eastAsia="Times New Roman" w:hAnsi="Cambria Math" w:cs="Times New Roman"/>
                    <w:kern w:val="0"/>
                    <w:sz w:val="24"/>
                    <w:szCs w:val="24"/>
                    <w14:ligatures w14:val="none"/>
                  </w:rPr>
                  <m:t>δ</m:t>
                </m:r>
              </m:e>
              <m:sub>
                <m:r>
                  <w:rPr>
                    <w:rFonts w:ascii="Cambria Math" w:eastAsia="Times New Roman" w:hAnsi="Cambria Math" w:cs="Times New Roman"/>
                    <w:kern w:val="0"/>
                    <w:sz w:val="24"/>
                    <w:szCs w:val="24"/>
                    <w14:ligatures w14:val="none"/>
                  </w:rPr>
                  <m:t>i</m:t>
                </m:r>
              </m:sub>
              <m:sup>
                <m:r>
                  <w:rPr>
                    <w:rFonts w:ascii="Cambria Math" w:eastAsia="Times New Roman" w:hAnsi="Cambria Math" w:cs="Times New Roman"/>
                    <w:kern w:val="0"/>
                    <w:sz w:val="24"/>
                    <w:szCs w:val="24"/>
                    <w14:ligatures w14:val="none"/>
                  </w:rPr>
                  <m:t>(τ)</m:t>
                </m:r>
              </m:sup>
            </m:sSubSup>
          </m:e>
        </m:nary>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Sup>
          <m:sSubSupPr>
            <m:ctrlPr>
              <w:rPr>
                <w:rFonts w:ascii="Cambria Math" w:eastAsia="Times New Roman" w:hAnsi="Cambria Math" w:cs="Times New Roman"/>
                <w:i/>
                <w:kern w:val="0"/>
                <w:sz w:val="24"/>
                <w:szCs w:val="24"/>
                <w14:ligatures w14:val="none"/>
              </w:rPr>
            </m:ctrlPr>
          </m:sSubSupPr>
          <m:e>
            <m:r>
              <w:rPr>
                <w:rFonts w:ascii="Cambria Math" w:eastAsia="Times New Roman" w:hAnsi="Cambria Math" w:cs="Times New Roman"/>
                <w:kern w:val="0"/>
                <w:sz w:val="24"/>
                <w:szCs w:val="24"/>
                <w14:ligatures w14:val="none"/>
              </w:rPr>
              <m:t>y</m:t>
            </m:r>
          </m:e>
          <m:sub>
            <m:r>
              <w:rPr>
                <w:rFonts w:ascii="Cambria Math" w:eastAsia="Times New Roman" w:hAnsi="Cambria Math" w:cs="Times New Roman"/>
                <w:kern w:val="0"/>
                <w:sz w:val="24"/>
                <w:szCs w:val="24"/>
                <w14:ligatures w14:val="none"/>
              </w:rPr>
              <m:t>t-i</m:t>
            </m:r>
          </m:sub>
          <m:sup>
            <m:r>
              <w:rPr>
                <w:rFonts w:ascii="Cambria Math" w:eastAsia="Times New Roman" w:hAnsi="Cambria Math" w:cs="Times New Roman"/>
                <w:kern w:val="0"/>
                <w:sz w:val="24"/>
                <w:szCs w:val="24"/>
                <w14:ligatures w14:val="none"/>
              </w:rPr>
              <m:t>(τ)</m:t>
            </m:r>
          </m:sup>
        </m:sSub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bSup>
          <m:sSubSupPr>
            <m:ctrlPr>
              <w:rPr>
                <w:rFonts w:ascii="Cambria Math" w:eastAsia="Times New Roman" w:hAnsi="Cambria Math" w:cs="Times New Roman"/>
                <w:i/>
                <w:kern w:val="0"/>
                <w:sz w:val="24"/>
                <w:szCs w:val="24"/>
                <w14:ligatures w14:val="none"/>
              </w:rPr>
            </m:ctrlPr>
          </m:sSubSupPr>
          <m:e>
            <m:r>
              <w:rPr>
                <w:rFonts w:ascii="Cambria Math" w:eastAsia="Times New Roman" w:hAnsi="Cambria Math" w:cs="Times New Roman"/>
                <w:kern w:val="0"/>
                <w:sz w:val="24"/>
                <w:szCs w:val="24"/>
                <w14:ligatures w14:val="none"/>
              </w:rPr>
              <m:t>ε</m:t>
            </m:r>
          </m:e>
          <m:sub>
            <m:r>
              <w:rPr>
                <w:rFonts w:ascii="Cambria Math" w:eastAsia="Times New Roman" w:hAnsi="Cambria Math" w:cs="Times New Roman"/>
                <w:kern w:val="0"/>
                <w:sz w:val="24"/>
                <w:szCs w:val="24"/>
                <w14:ligatures w14:val="none"/>
              </w:rPr>
              <m:t>t</m:t>
            </m:r>
          </m:sub>
          <m:sup>
            <m:r>
              <w:rPr>
                <w:rFonts w:ascii="Cambria Math" w:eastAsia="Times New Roman" w:hAnsi="Cambria Math" w:cs="Times New Roman"/>
                <w:kern w:val="0"/>
                <w:sz w:val="24"/>
                <w:szCs w:val="24"/>
                <w14:ligatures w14:val="none"/>
              </w:rPr>
              <m:t>(τ)</m:t>
            </m:r>
          </m:sup>
        </m:sSubSup>
      </m:oMath>
      <w:r w:rsidRPr="0050122D">
        <w:rPr>
          <w:rFonts w:ascii="Times New Roman" w:eastAsia="Times New Roman" w:hAnsi="Times New Roman" w:cs="Times New Roman"/>
          <w:kern w:val="0"/>
          <w:sz w:val="24"/>
          <w:szCs w:val="24"/>
          <w14:ligatures w14:val="none"/>
        </w:rPr>
        <w:t xml:space="preserve"> …………………………………..…(7)</w:t>
      </w:r>
    </w:p>
    <w:p w14:paraId="5E391830" w14:textId="77777777" w:rsidR="0050122D" w:rsidRPr="0050122D" w:rsidRDefault="0050122D" w:rsidP="0050122D">
      <w:pPr>
        <w:spacing w:after="240" w:line="360" w:lineRule="auto"/>
        <w:jc w:val="both"/>
        <w:rPr>
          <w:rFonts w:ascii="Times New Roman" w:eastAsia="Calibri" w:hAnsi="Times New Roman" w:cs="Times New Roman"/>
          <w:iCs/>
          <w:kern w:val="0"/>
          <w:sz w:val="24"/>
          <w:szCs w:val="24"/>
          <w14:ligatures w14:val="none"/>
        </w:rPr>
      </w:pPr>
      <w:r w:rsidRPr="0050122D">
        <w:rPr>
          <w:rFonts w:ascii="Times New Roman" w:eastAsia="Calibri" w:hAnsi="Times New Roman" w:cs="Times New Roman"/>
          <w:kern w:val="0"/>
          <w:sz w:val="24"/>
          <w:szCs w:val="24"/>
          <w14:ligatures w14:val="none"/>
        </w:rPr>
        <w:t xml:space="preserve">Where </w:t>
      </w:r>
      <m:oMath>
        <m:sSubSup>
          <m:sSubSupPr>
            <m:ctrlPr>
              <w:rPr>
                <w:rFonts w:ascii="Cambria Math" w:eastAsia="Calibri" w:hAnsi="Cambria Math" w:cs="Times New Roman"/>
                <w:i/>
                <w:kern w:val="0"/>
                <w:sz w:val="24"/>
                <w:szCs w:val="24"/>
                <w14:ligatures w14:val="none"/>
              </w:rPr>
            </m:ctrlPr>
          </m:sSubSupPr>
          <m:e>
            <m:r>
              <w:rPr>
                <w:rFonts w:ascii="Cambria Math" w:eastAsia="Calibri" w:hAnsi="Cambria Math" w:cs="Times New Roman"/>
                <w:kern w:val="0"/>
                <w:sz w:val="24"/>
                <w:szCs w:val="24"/>
                <w14:ligatures w14:val="none"/>
              </w:rPr>
              <m:t>y</m:t>
            </m:r>
          </m:e>
          <m:sub>
            <m:r>
              <w:rPr>
                <w:rFonts w:ascii="Cambria Math" w:eastAsia="Calibri" w:hAnsi="Cambria Math" w:cs="Times New Roman"/>
                <w:kern w:val="0"/>
                <w:sz w:val="24"/>
                <w:szCs w:val="24"/>
                <w14:ligatures w14:val="none"/>
              </w:rPr>
              <m:t>t</m:t>
            </m:r>
          </m:sub>
          <m:sup>
            <m:r>
              <w:rPr>
                <w:rFonts w:ascii="Cambria Math" w:eastAsia="Calibri" w:hAnsi="Cambria Math" w:cs="Times New Roman"/>
                <w:kern w:val="0"/>
                <w:sz w:val="24"/>
                <w:szCs w:val="24"/>
                <w14:ligatures w14:val="none"/>
              </w:rPr>
              <m:t>(τ)</m:t>
            </m:r>
          </m:sup>
        </m:sSubSup>
      </m:oMath>
      <w:r w:rsidRPr="0050122D">
        <w:rPr>
          <w:rFonts w:ascii="Times New Roman" w:eastAsia="Times New Roman" w:hAnsi="Times New Roman" w:cs="Times New Roman"/>
          <w:kern w:val="0"/>
          <w:sz w:val="24"/>
          <w:szCs w:val="24"/>
          <w14:ligatures w14:val="none"/>
        </w:rPr>
        <w:t xml:space="preserve"> represents the </w:t>
      </w:r>
      <m:oMath>
        <m:r>
          <w:rPr>
            <w:rFonts w:ascii="Cambria Math" w:eastAsia="Times New Roman"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 xml:space="preserve">-th quantile of the time series at time </w:t>
      </w:r>
      <m:oMath>
        <m:r>
          <w:rPr>
            <w:rFonts w:ascii="Cambria Math" w:eastAsia="Times New Roman" w:hAnsi="Cambria Math" w:cs="Times New Roman"/>
            <w:kern w:val="0"/>
            <w:sz w:val="24"/>
            <w:szCs w:val="24"/>
            <w14:ligatures w14:val="none"/>
          </w:rPr>
          <m:t>t</m:t>
        </m:r>
      </m:oMath>
      <w:r w:rsidRPr="0050122D">
        <w:rPr>
          <w:rFonts w:ascii="Times New Roman" w:eastAsia="Times New Roman" w:hAnsi="Times New Roman" w:cs="Times New Roman"/>
          <w:kern w:val="0"/>
          <w:sz w:val="24"/>
          <w:szCs w:val="24"/>
          <w14:ligatures w14:val="none"/>
        </w:rPr>
        <w:t xml:space="preserve">. </w:t>
      </w:r>
      <m:oMath>
        <m:r>
          <w:rPr>
            <w:rFonts w:ascii="Cambria Math" w:eastAsia="Calibri" w:hAnsi="Cambria Math" w:cs="Times New Roman"/>
            <w:kern w:val="0"/>
            <w:sz w:val="24"/>
            <w:szCs w:val="24"/>
            <w14:ligatures w14:val="none"/>
          </w:rPr>
          <m:t>∆</m:t>
        </m:r>
        <m:sSubSup>
          <m:sSubSupPr>
            <m:ctrlPr>
              <w:rPr>
                <w:rFonts w:ascii="Cambria Math" w:eastAsia="Calibri" w:hAnsi="Cambria Math" w:cs="Times New Roman"/>
                <w:i/>
                <w:kern w:val="0"/>
                <w:sz w:val="24"/>
                <w:szCs w:val="24"/>
                <w14:ligatures w14:val="none"/>
              </w:rPr>
            </m:ctrlPr>
          </m:sSubSupPr>
          <m:e>
            <m:r>
              <w:rPr>
                <w:rFonts w:ascii="Cambria Math" w:eastAsia="Calibri" w:hAnsi="Cambria Math" w:cs="Times New Roman"/>
                <w:kern w:val="0"/>
                <w:sz w:val="24"/>
                <w:szCs w:val="24"/>
                <w14:ligatures w14:val="none"/>
              </w:rPr>
              <m:t>y</m:t>
            </m:r>
          </m:e>
          <m:sub>
            <m:r>
              <w:rPr>
                <w:rFonts w:ascii="Cambria Math" w:eastAsia="Calibri" w:hAnsi="Cambria Math" w:cs="Times New Roman"/>
                <w:kern w:val="0"/>
                <w:sz w:val="24"/>
                <w:szCs w:val="24"/>
                <w14:ligatures w14:val="none"/>
              </w:rPr>
              <m:t>t</m:t>
            </m:r>
          </m:sub>
          <m:sup>
            <m:r>
              <w:rPr>
                <w:rFonts w:ascii="Cambria Math" w:eastAsia="Calibri" w:hAnsi="Cambria Math" w:cs="Times New Roman"/>
                <w:kern w:val="0"/>
                <w:sz w:val="24"/>
                <w:szCs w:val="24"/>
                <w14:ligatures w14:val="none"/>
              </w:rPr>
              <m:t>(τ)</m:t>
            </m:r>
          </m:sup>
        </m:sSubSup>
      </m:oMath>
      <w:r w:rsidRPr="0050122D">
        <w:rPr>
          <w:rFonts w:ascii="Times New Roman" w:eastAsia="Times New Roman" w:hAnsi="Times New Roman" w:cs="Times New Roman"/>
          <w:iCs/>
          <w:kern w:val="0"/>
          <w:sz w:val="24"/>
          <w:szCs w:val="24"/>
          <w14:ligatures w14:val="none"/>
        </w:rPr>
        <w:t xml:space="preserve"> </w:t>
      </w:r>
      <w:r w:rsidRPr="0050122D">
        <w:rPr>
          <w:rFonts w:ascii="Times New Roman" w:eastAsia="Times New Roman" w:hAnsi="Times New Roman" w:cs="Times New Roman"/>
          <w:kern w:val="0"/>
          <w:sz w:val="24"/>
          <w:szCs w:val="24"/>
          <w14:ligatures w14:val="none"/>
        </w:rPr>
        <w:t xml:space="preserve">is the first difference of the </w:t>
      </w:r>
      <m:oMath>
        <m:r>
          <w:rPr>
            <w:rFonts w:ascii="Cambria Math" w:eastAsia="Calibri"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 xml:space="preserve">-th quantile,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α</m:t>
            </m:r>
          </m:e>
          <m:sup>
            <m:r>
              <w:rPr>
                <w:rFonts w:ascii="Cambria Math" w:eastAsia="Times New Roman" w:hAnsi="Cambria Math" w:cs="Times New Roman"/>
                <w:kern w:val="0"/>
                <w:sz w:val="24"/>
                <w:szCs w:val="24"/>
                <w14:ligatures w14:val="none"/>
              </w:rPr>
              <m:t>(τ)</m:t>
            </m:r>
          </m:sup>
        </m:sSup>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β</m:t>
            </m:r>
          </m:e>
          <m:sup>
            <m:r>
              <w:rPr>
                <w:rFonts w:ascii="Cambria Math" w:eastAsia="Times New Roman" w:hAnsi="Cambria Math" w:cs="Times New Roman"/>
                <w:kern w:val="0"/>
                <w:sz w:val="24"/>
                <w:szCs w:val="24"/>
                <w14:ligatures w14:val="none"/>
              </w:rPr>
              <m:t>(τ)</m:t>
            </m:r>
          </m:sup>
        </m:sSup>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γ</m:t>
            </m:r>
          </m:e>
          <m:sup>
            <m:r>
              <w:rPr>
                <w:rFonts w:ascii="Cambria Math" w:eastAsia="Times New Roman" w:hAnsi="Cambria Math" w:cs="Times New Roman"/>
                <w:kern w:val="0"/>
                <w:sz w:val="24"/>
                <w:szCs w:val="24"/>
                <w14:ligatures w14:val="none"/>
              </w:rPr>
              <m:t>(τ)</m:t>
            </m:r>
          </m:sup>
        </m:sSup>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bSup>
          <m:sSubSupPr>
            <m:ctrlPr>
              <w:rPr>
                <w:rFonts w:ascii="Cambria Math" w:eastAsia="Times New Roman" w:hAnsi="Cambria Math" w:cs="Times New Roman"/>
                <w:i/>
                <w:kern w:val="0"/>
                <w:sz w:val="24"/>
                <w:szCs w:val="24"/>
                <w14:ligatures w14:val="none"/>
              </w:rPr>
            </m:ctrlPr>
          </m:sSubSupPr>
          <m:e>
            <m:r>
              <w:rPr>
                <w:rFonts w:ascii="Cambria Math" w:eastAsia="Times New Roman" w:hAnsi="Cambria Math" w:cs="Times New Roman"/>
                <w:kern w:val="0"/>
                <w:sz w:val="24"/>
                <w:szCs w:val="24"/>
                <w14:ligatures w14:val="none"/>
              </w:rPr>
              <m:t>δ</m:t>
            </m:r>
          </m:e>
          <m:sub>
            <m:r>
              <w:rPr>
                <w:rFonts w:ascii="Cambria Math" w:eastAsia="Times New Roman" w:hAnsi="Cambria Math" w:cs="Times New Roman"/>
                <w:kern w:val="0"/>
                <w:sz w:val="24"/>
                <w:szCs w:val="24"/>
                <w14:ligatures w14:val="none"/>
              </w:rPr>
              <m:t>i</m:t>
            </m:r>
          </m:sub>
          <m:sup>
            <m:r>
              <w:rPr>
                <w:rFonts w:ascii="Cambria Math" w:eastAsia="Times New Roman" w:hAnsi="Cambria Math" w:cs="Times New Roman"/>
                <w:kern w:val="0"/>
                <w:sz w:val="24"/>
                <w:szCs w:val="24"/>
                <w14:ligatures w14:val="none"/>
              </w:rPr>
              <m:t>(τ)</m:t>
            </m:r>
          </m:sup>
        </m:sSubSup>
      </m:oMath>
      <w:r w:rsidRPr="0050122D">
        <w:rPr>
          <w:rFonts w:ascii="Times New Roman" w:eastAsia="Times New Roman" w:hAnsi="Times New Roman" w:cs="Times New Roman"/>
          <w:kern w:val="0"/>
          <w:sz w:val="24"/>
          <w:szCs w:val="24"/>
          <w14:ligatures w14:val="none"/>
        </w:rPr>
        <w:t xml:space="preserve"> are the parameters associated with the </w:t>
      </w:r>
      <m:oMath>
        <m:r>
          <w:rPr>
            <w:rFonts w:ascii="Cambria Math" w:eastAsia="Times New Roman"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 xml:space="preserve"> -th quantile, </w:t>
      </w:r>
      <m:oMath>
        <m:sSubSup>
          <m:sSubSupPr>
            <m:ctrlPr>
              <w:rPr>
                <w:rFonts w:ascii="Cambria Math" w:eastAsia="Times New Roman" w:hAnsi="Cambria Math" w:cs="Times New Roman"/>
                <w:i/>
                <w:kern w:val="0"/>
                <w:sz w:val="24"/>
                <w:szCs w:val="24"/>
                <w14:ligatures w14:val="none"/>
              </w:rPr>
            </m:ctrlPr>
          </m:sSubSupPr>
          <m:e>
            <m:r>
              <w:rPr>
                <w:rFonts w:ascii="Cambria Math" w:eastAsia="Times New Roman" w:hAnsi="Cambria Math" w:cs="Times New Roman"/>
                <w:kern w:val="0"/>
                <w:sz w:val="24"/>
                <w:szCs w:val="24"/>
                <w14:ligatures w14:val="none"/>
              </w:rPr>
              <m:t>ε</m:t>
            </m:r>
          </m:e>
          <m:sub>
            <m:r>
              <w:rPr>
                <w:rFonts w:ascii="Cambria Math" w:eastAsia="Times New Roman" w:hAnsi="Cambria Math" w:cs="Times New Roman"/>
                <w:kern w:val="0"/>
                <w:sz w:val="24"/>
                <w:szCs w:val="24"/>
                <w14:ligatures w14:val="none"/>
              </w:rPr>
              <m:t>t</m:t>
            </m:r>
          </m:sub>
          <m:sup>
            <m:r>
              <w:rPr>
                <w:rFonts w:ascii="Cambria Math" w:eastAsia="Times New Roman" w:hAnsi="Cambria Math" w:cs="Times New Roman"/>
                <w:kern w:val="0"/>
                <w:sz w:val="24"/>
                <w:szCs w:val="24"/>
                <w14:ligatures w14:val="none"/>
              </w:rPr>
              <m:t>(τ)</m:t>
            </m:r>
          </m:sup>
        </m:sSubSup>
      </m:oMath>
      <w:r w:rsidRPr="0050122D">
        <w:rPr>
          <w:rFonts w:ascii="Times New Roman" w:eastAsia="Times New Roman" w:hAnsi="Times New Roman" w:cs="Times New Roman"/>
          <w:kern w:val="0"/>
          <w:sz w:val="24"/>
          <w:szCs w:val="24"/>
          <w14:ligatures w14:val="none"/>
        </w:rPr>
        <w:t xml:space="preserve"> is the error term for the </w:t>
      </w:r>
      <m:oMath>
        <m:r>
          <w:rPr>
            <w:rFonts w:ascii="Cambria Math" w:eastAsia="Times New Roman"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 xml:space="preserve">-th quantile. </w:t>
      </w:r>
    </w:p>
    <w:p w14:paraId="4F61DDBA"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bookmarkStart w:id="22" w:name="_Hlk174294775"/>
      <w:r w:rsidRPr="0050122D">
        <w:rPr>
          <w:rFonts w:ascii="Times New Roman" w:eastAsia="Calibri" w:hAnsi="Times New Roman" w:cs="Times New Roman"/>
          <w:kern w:val="0"/>
          <w:sz w:val="24"/>
          <w:szCs w:val="24"/>
          <w14:ligatures w14:val="none"/>
        </w:rPr>
        <w:t>The rule of thumb is if the p-value is less than the significance level (1%, 5%, 10%), reject the null hypothesis, and the series is stationary. When the p-value is greater or equal to the level of significance the series is non-stationary.</w:t>
      </w:r>
      <w:bookmarkEnd w:id="22"/>
    </w:p>
    <w:bookmarkEnd w:id="20"/>
    <w:p w14:paraId="7883FECF" w14:textId="284768C5" w:rsidR="0050122D" w:rsidRPr="0050122D" w:rsidRDefault="0050122D" w:rsidP="0050122D">
      <w:pPr>
        <w:keepNext/>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r w:rsidRPr="0050122D">
        <w:rPr>
          <w:rFonts w:ascii="Times New Roman" w:eastAsia="Times New Roman" w:hAnsi="Times New Roman" w:cs="Times New Roman"/>
          <w:b/>
          <w:bCs/>
          <w:kern w:val="0"/>
          <w:sz w:val="24"/>
          <w:szCs w:val="24"/>
          <w:lang w:val="en-US" w:eastAsia="en-ZA"/>
          <w14:ligatures w14:val="none"/>
        </w:rPr>
        <w:t>3.</w:t>
      </w:r>
      <w:r w:rsidR="002D3516">
        <w:rPr>
          <w:rFonts w:ascii="Times New Roman" w:eastAsia="Times New Roman" w:hAnsi="Times New Roman" w:cs="Times New Roman"/>
          <w:b/>
          <w:bCs/>
          <w:kern w:val="0"/>
          <w:sz w:val="24"/>
          <w:szCs w:val="24"/>
          <w:lang w:val="en-US" w:eastAsia="en-ZA"/>
          <w14:ligatures w14:val="none"/>
        </w:rPr>
        <w:t>4</w:t>
      </w:r>
      <w:r w:rsidRPr="0050122D">
        <w:rPr>
          <w:rFonts w:ascii="Times New Roman" w:eastAsia="Times New Roman" w:hAnsi="Times New Roman" w:cs="Times New Roman"/>
          <w:b/>
          <w:bCs/>
          <w:kern w:val="0"/>
          <w:sz w:val="24"/>
          <w:szCs w:val="24"/>
          <w:lang w:val="en-US" w:eastAsia="en-ZA"/>
          <w14:ligatures w14:val="none"/>
        </w:rPr>
        <w:t>.2</w:t>
      </w:r>
      <w:r w:rsidRPr="0050122D">
        <w:rPr>
          <w:rFonts w:ascii="Times New Roman" w:eastAsia="Times New Roman" w:hAnsi="Times New Roman" w:cs="Times New Roman"/>
          <w:kern w:val="0"/>
          <w:sz w:val="24"/>
          <w:szCs w:val="24"/>
          <w:lang w:val="en-US" w:eastAsia="en-ZA"/>
          <w14:ligatures w14:val="none"/>
        </w:rPr>
        <w:t xml:space="preserve"> </w:t>
      </w:r>
      <w:bookmarkStart w:id="23" w:name="_Hlk174283568"/>
      <w:bookmarkStart w:id="24" w:name="_Toc183627144"/>
      <w:r w:rsidRPr="0050122D">
        <w:rPr>
          <w:rFonts w:ascii="Times New Roman" w:eastAsia="Calibri" w:hAnsi="Times New Roman" w:cs="Times New Roman"/>
          <w:b/>
          <w:bCs/>
          <w:kern w:val="0"/>
          <w:sz w:val="24"/>
          <w:szCs w:val="24"/>
          <w:lang w:val="en-US" w:eastAsia="en-ZA"/>
          <w14:ligatures w14:val="none"/>
        </w:rPr>
        <w:t>Quantile Phillips-Perron test</w:t>
      </w:r>
      <w:bookmarkEnd w:id="23"/>
      <w:bookmarkEnd w:id="24"/>
    </w:p>
    <w:p w14:paraId="7AD34E05"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0"/>
          <w14:ligatures w14:val="none"/>
        </w:rPr>
      </w:pPr>
      <w:r w:rsidRPr="0050122D">
        <w:rPr>
          <w:rFonts w:ascii="Times New Roman" w:eastAsia="cmr10" w:hAnsi="Times New Roman" w:cs="Times New Roman"/>
          <w:kern w:val="0"/>
          <w:sz w:val="24"/>
          <w:szCs w:val="20"/>
          <w:lang w:eastAsia="en-ZA"/>
          <w14:ligatures w14:val="none"/>
        </w:rPr>
        <w:t>The QPP test is the extension of the standard PP unit root test.</w:t>
      </w:r>
      <w:r w:rsidRPr="0050122D">
        <w:rPr>
          <w:rFonts w:ascii="Times New Roman" w:eastAsia="Times New Roman" w:hAnsi="Times New Roman" w:cs="Times New Roman"/>
          <w:kern w:val="0"/>
          <w:sz w:val="24"/>
          <w:szCs w:val="20"/>
          <w14:ligatures w14:val="none"/>
        </w:rPr>
        <w:t xml:space="preserve"> </w:t>
      </w:r>
      <w:r w:rsidRPr="0050122D">
        <w:rPr>
          <w:rFonts w:ascii="Times New Roman" w:eastAsia="cmr10" w:hAnsi="Times New Roman" w:cs="Times New Roman"/>
          <w:kern w:val="0"/>
          <w:sz w:val="24"/>
          <w:szCs w:val="20"/>
          <w:lang w:eastAsia="en-ZA"/>
          <w14:ligatures w14:val="none"/>
        </w:rPr>
        <w:t>The quantile unit root test provides a significant improvement in time series analysis by allowing for adjustments that account for distribution-specific effects, making it a powerful tool for assessing unit root in the series (</w:t>
      </w:r>
      <w:r w:rsidRPr="0050122D">
        <w:rPr>
          <w:rFonts w:ascii="Times New Roman" w:eastAsia="Times New Roman" w:hAnsi="Times New Roman" w:cs="Times New Roman"/>
          <w:kern w:val="0"/>
          <w:sz w:val="24"/>
          <w:szCs w:val="20"/>
          <w14:ligatures w14:val="none"/>
        </w:rPr>
        <w:t xml:space="preserve">Ling &amp; McAleer; 2004; Liu </w:t>
      </w:r>
      <w:r w:rsidRPr="0050122D">
        <w:rPr>
          <w:rFonts w:ascii="Times New Roman" w:eastAsia="Times New Roman" w:hAnsi="Times New Roman" w:cs="Times New Roman"/>
          <w:i/>
          <w:iCs/>
          <w:kern w:val="0"/>
          <w:sz w:val="24"/>
          <w:szCs w:val="20"/>
          <w14:ligatures w14:val="none"/>
        </w:rPr>
        <w:t xml:space="preserve">et al., </w:t>
      </w:r>
      <w:r w:rsidRPr="0050122D">
        <w:rPr>
          <w:rFonts w:ascii="Times New Roman" w:eastAsia="cmr10" w:hAnsi="Times New Roman" w:cs="Times New Roman"/>
          <w:kern w:val="0"/>
          <w:sz w:val="24"/>
          <w:szCs w:val="20"/>
          <w:lang w:eastAsia="en-ZA"/>
          <w14:ligatures w14:val="none"/>
        </w:rPr>
        <w:t>2021).</w:t>
      </w:r>
      <w:r w:rsidRPr="0050122D">
        <w:rPr>
          <w:rFonts w:ascii="Times New Roman" w:eastAsia="Times New Roman" w:hAnsi="Times New Roman" w:cs="Times New Roman"/>
          <w:kern w:val="0"/>
          <w:sz w:val="24"/>
          <w:szCs w:val="20"/>
          <w14:ligatures w14:val="none"/>
        </w:rPr>
        <w:t xml:space="preserve"> This study </w:t>
      </w:r>
      <w:r w:rsidRPr="0050122D">
        <w:rPr>
          <w:rFonts w:ascii="Times New Roman" w:eastAsia="Calibri" w:hAnsi="Times New Roman" w:cs="Times New Roman"/>
          <w:kern w:val="0"/>
          <w:sz w:val="24"/>
          <w:szCs w:val="20"/>
          <w14:ligatures w14:val="none"/>
        </w:rPr>
        <w:t>estimated the following QPP equation, which is based on the quantile unit root test regression proposed by</w:t>
      </w:r>
      <w:r w:rsidRPr="0050122D">
        <w:rPr>
          <w:rFonts w:ascii="Times New Roman" w:eastAsia="Times New Roman" w:hAnsi="Times New Roman" w:cs="Times New Roman"/>
          <w:kern w:val="0"/>
          <w:sz w:val="24"/>
          <w:szCs w:val="20"/>
          <w14:ligatures w14:val="none"/>
        </w:rPr>
        <w:t xml:space="preserve"> </w:t>
      </w:r>
      <w:r w:rsidRPr="0050122D">
        <w:rPr>
          <w:rFonts w:ascii="Times New Roman" w:eastAsia="Calibri" w:hAnsi="Times New Roman" w:cs="Times New Roman"/>
          <w:kern w:val="0"/>
          <w:sz w:val="24"/>
          <w:szCs w:val="20"/>
          <w14:ligatures w14:val="none"/>
        </w:rPr>
        <w:t>Li and Zheng (2017).</w:t>
      </w:r>
    </w:p>
    <w:p w14:paraId="17651BB7" w14:textId="77777777" w:rsidR="0050122D" w:rsidRPr="0050122D" w:rsidRDefault="00ED6F44" w:rsidP="0050122D">
      <w:pPr>
        <w:spacing w:after="240" w:line="360" w:lineRule="auto"/>
        <w:jc w:val="both"/>
        <w:rPr>
          <w:rFonts w:ascii="Times New Roman" w:eastAsia="Times New Roman" w:hAnsi="Times New Roman" w:cs="Times New Roman"/>
          <w:kern w:val="0"/>
          <w:sz w:val="24"/>
          <w:szCs w:val="24"/>
          <w14:ligatures w14:val="none"/>
        </w:rPr>
      </w:pPr>
      <m:oMath>
        <m:sSub>
          <m:sSubPr>
            <m:ctrlPr>
              <w:rPr>
                <w:rFonts w:ascii="Cambria Math" w:eastAsia="Calibri" w:hAnsi="Cambria Math" w:cs="Times New Roman"/>
                <w:i/>
                <w:kern w:val="0"/>
                <w:sz w:val="24"/>
                <w:szCs w:val="24"/>
                <w14:ligatures w14:val="none"/>
              </w:rPr>
            </m:ctrlPr>
          </m:sSubPr>
          <m:e>
            <m:r>
              <w:rPr>
                <w:rFonts w:ascii="Cambria Math" w:eastAsia="Calibri" w:hAnsi="Cambria Math" w:cs="Times New Roman"/>
                <w:kern w:val="0"/>
                <w:sz w:val="24"/>
                <w:szCs w:val="24"/>
                <w14:ligatures w14:val="none"/>
              </w:rPr>
              <m:t>t</m:t>
            </m:r>
          </m:e>
          <m:sub>
            <m:r>
              <w:rPr>
                <w:rFonts w:ascii="Cambria Math" w:eastAsia="Calibri" w:hAnsi="Cambria Math" w:cs="Times New Roman"/>
                <w:kern w:val="0"/>
                <w:sz w:val="24"/>
                <w:szCs w:val="24"/>
                <w14:ligatures w14:val="none"/>
              </w:rPr>
              <m:t>α</m:t>
            </m:r>
          </m:sub>
        </m:sSub>
        <m:r>
          <w:rPr>
            <w:rFonts w:ascii="Cambria Math" w:eastAsia="Times New Roman" w:hAnsi="Cambria Math" w:cs="Times New Roman"/>
            <w:kern w:val="0"/>
            <w:sz w:val="24"/>
            <w:szCs w:val="24"/>
            <w14:ligatures w14:val="none"/>
          </w:rPr>
          <m:t xml:space="preserve">(τ) </m:t>
        </m:r>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f>
          <m:fPr>
            <m:ctrlPr>
              <w:rPr>
                <w:rFonts w:ascii="Cambria Math" w:eastAsia="Times New Roman" w:hAnsi="Cambria Math" w:cs="Times New Roman"/>
                <w:i/>
                <w:kern w:val="0"/>
                <w:sz w:val="24"/>
                <w:szCs w:val="24"/>
                <w14:ligatures w14:val="none"/>
              </w:rPr>
            </m:ctrlPr>
          </m:fPr>
          <m:num>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α</m:t>
                </m:r>
              </m:e>
            </m:acc>
            <m:r>
              <w:rPr>
                <w:rFonts w:ascii="Cambria Math" w:eastAsia="Times New Roman" w:hAnsi="Cambria Math" w:cs="Times New Roman"/>
                <w:kern w:val="0"/>
                <w:sz w:val="24"/>
                <w:szCs w:val="24"/>
                <w14:ligatures w14:val="none"/>
              </w:rPr>
              <m:t xml:space="preserve"> </m:t>
            </m:r>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τ</m:t>
                </m:r>
              </m:e>
            </m:d>
            <m:r>
              <w:rPr>
                <w:rFonts w:ascii="Cambria Math" w:eastAsia="Times New Roman" w:hAnsi="Cambria Math" w:cs="Times New Roman"/>
                <w:kern w:val="0"/>
                <w:sz w:val="24"/>
                <w:szCs w:val="24"/>
                <w14:ligatures w14:val="none"/>
              </w:rPr>
              <m:t>-1</m:t>
            </m:r>
          </m:num>
          <m:den>
            <m:r>
              <w:rPr>
                <w:rFonts w:ascii="Cambria Math" w:eastAsia="Times New Roman" w:hAnsi="Cambria Math" w:cs="Times New Roman"/>
                <w:kern w:val="0"/>
                <w:sz w:val="24"/>
                <w:szCs w:val="24"/>
                <w14:ligatures w14:val="none"/>
              </w:rPr>
              <m:t>S(</m:t>
            </m:r>
            <w:bookmarkStart w:id="25" w:name="_Hlk174309227"/>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α</m:t>
                </m:r>
              </m:e>
            </m:acc>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τ</m:t>
                </m:r>
              </m:e>
            </m:d>
            <w:bookmarkEnd w:id="25"/>
            <m:r>
              <w:rPr>
                <w:rFonts w:ascii="Cambria Math" w:eastAsia="Times New Roman" w:hAnsi="Cambria Math" w:cs="Times New Roman"/>
                <w:kern w:val="0"/>
                <w:sz w:val="24"/>
                <w:szCs w:val="24"/>
                <w14:ligatures w14:val="none"/>
              </w:rPr>
              <m:t>)</m:t>
            </m:r>
          </m:den>
        </m:f>
      </m:oMath>
      <w:r w:rsidR="0050122D" w:rsidRPr="0050122D">
        <w:rPr>
          <w:rFonts w:ascii="Times New Roman" w:eastAsia="Times New Roman" w:hAnsi="Times New Roman" w:cs="Times New Roman"/>
          <w:kern w:val="0"/>
          <w:sz w:val="24"/>
          <w:szCs w:val="24"/>
          <w14:ligatures w14:val="none"/>
        </w:rPr>
        <w:t xml:space="preserve"> ………………………………………………………………..……………….(8)</w:t>
      </w:r>
    </w:p>
    <w:p w14:paraId="1CE505BD"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Where </w:t>
      </w:r>
      <m:oMath>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α</m:t>
            </m:r>
          </m:e>
        </m:acc>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τ</m:t>
            </m:r>
          </m:e>
        </m:d>
      </m:oMath>
      <w:r w:rsidRPr="0050122D">
        <w:rPr>
          <w:rFonts w:ascii="Times New Roman" w:eastAsia="Times New Roman" w:hAnsi="Times New Roman" w:cs="Times New Roman"/>
          <w:kern w:val="0"/>
          <w:sz w:val="24"/>
          <w:szCs w:val="24"/>
          <w14:ligatures w14:val="none"/>
        </w:rPr>
        <w:t xml:space="preserve"> is the autoregressive coefficient estimated for the </w:t>
      </w:r>
      <m:oMath>
        <m:r>
          <w:rPr>
            <w:rFonts w:ascii="Cambria Math" w:eastAsia="Times New Roman"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-th quantile,</w:t>
      </w:r>
      <w:r w:rsidRPr="0050122D">
        <w:rPr>
          <w:rFonts w:ascii="Times New Roman" w:eastAsia="Times New Roman" w:hAnsi="Times New Roman" w:cs="Times New Roman"/>
          <w:i/>
          <w:kern w:val="0"/>
          <w:sz w:val="24"/>
          <w:szCs w:val="24"/>
          <w14:ligatures w14:val="none"/>
        </w:rPr>
        <w:t xml:space="preserve"> </w:t>
      </w:r>
      <m:oMath>
        <m:r>
          <w:rPr>
            <w:rFonts w:ascii="Cambria Math" w:eastAsia="Times New Roman" w:hAnsi="Cambria Math" w:cs="Times New Roman"/>
            <w:kern w:val="0"/>
            <w:sz w:val="24"/>
            <w:szCs w:val="24"/>
            <w14:ligatures w14:val="none"/>
          </w:rPr>
          <m:t>S(</m:t>
        </m:r>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α</m:t>
            </m:r>
          </m:e>
        </m:acc>
        <m:d>
          <m:dPr>
            <m:ctrlPr>
              <w:rPr>
                <w:rFonts w:ascii="Cambria Math" w:eastAsia="Times New Roman" w:hAnsi="Cambria Math" w:cs="Times New Roman"/>
                <w:i/>
                <w:kern w:val="0"/>
                <w:sz w:val="24"/>
                <w:szCs w:val="24"/>
                <w14:ligatures w14:val="none"/>
              </w:rPr>
            </m:ctrlPr>
          </m:dPr>
          <m:e>
            <m:r>
              <w:rPr>
                <w:rFonts w:ascii="Cambria Math" w:eastAsia="Times New Roman" w:hAnsi="Cambria Math" w:cs="Times New Roman"/>
                <w:kern w:val="0"/>
                <w:sz w:val="24"/>
                <w:szCs w:val="24"/>
                <w14:ligatures w14:val="none"/>
              </w:rPr>
              <m:t>τ</m:t>
            </m:r>
          </m:e>
        </m:d>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iCs/>
          <w:kern w:val="0"/>
          <w:sz w:val="24"/>
          <w:szCs w:val="24"/>
          <w14:ligatures w14:val="none"/>
        </w:rPr>
        <w:t xml:space="preserve"> is its robust standard error.</w:t>
      </w:r>
      <w:r w:rsidRPr="0050122D">
        <w:rPr>
          <w:rFonts w:ascii="Times New Roman" w:eastAsia="Calibri" w:hAnsi="Times New Roman" w:cs="Times New Roman"/>
          <w:iCs/>
          <w:kern w:val="0"/>
          <w:sz w:val="24"/>
          <w:szCs w:val="24"/>
          <w14:ligatures w14:val="none"/>
        </w:rPr>
        <w:t xml:space="preserve"> </w:t>
      </w:r>
      <w:r w:rsidRPr="0050122D">
        <w:rPr>
          <w:rFonts w:ascii="Times New Roman" w:eastAsia="Calibri" w:hAnsi="Times New Roman" w:cs="Times New Roman"/>
          <w:kern w:val="0"/>
          <w:sz w:val="24"/>
          <w:szCs w:val="24"/>
          <w14:ligatures w14:val="none"/>
        </w:rPr>
        <w:t>The decision rule, as discussed in the above section if the p-value is less than the significance level (1%, 5%, 10%), reject the null hypothesis, and the series is stationary. When the p-value is greater than or equal to the level of significance, the series is non-stationary.</w:t>
      </w:r>
    </w:p>
    <w:p w14:paraId="1919D75D" w14:textId="32E3D8EC" w:rsidR="0050122D" w:rsidRPr="0050122D" w:rsidRDefault="0050122D" w:rsidP="0050122D">
      <w:pPr>
        <w:keepNext/>
        <w:spacing w:before="120" w:after="0" w:line="360" w:lineRule="auto"/>
        <w:ind w:left="851" w:hanging="851"/>
        <w:jc w:val="both"/>
        <w:rPr>
          <w:rFonts w:ascii="Times New Roman" w:eastAsia="Calibri" w:hAnsi="Times New Roman" w:cs="Times New Roman"/>
          <w:b/>
          <w:bCs/>
          <w:kern w:val="0"/>
          <w:sz w:val="24"/>
          <w:szCs w:val="24"/>
          <w14:ligatures w14:val="none"/>
        </w:rPr>
      </w:pPr>
      <w:r w:rsidRPr="0050122D">
        <w:rPr>
          <w:rFonts w:ascii="Times New Roman" w:eastAsia="Calibri" w:hAnsi="Times New Roman" w:cs="Times New Roman"/>
          <w:b/>
          <w:bCs/>
          <w:kern w:val="0"/>
          <w:sz w:val="24"/>
          <w:szCs w:val="24"/>
          <w:lang w:val="en-US" w:eastAsia="en-ZA"/>
          <w14:ligatures w14:val="none"/>
        </w:rPr>
        <w:t>3.</w:t>
      </w:r>
      <w:r w:rsidR="002D3516">
        <w:rPr>
          <w:rFonts w:ascii="Times New Roman" w:eastAsia="Calibri" w:hAnsi="Times New Roman" w:cs="Times New Roman"/>
          <w:b/>
          <w:bCs/>
          <w:kern w:val="0"/>
          <w:sz w:val="24"/>
          <w:szCs w:val="24"/>
          <w:lang w:val="en-US" w:eastAsia="en-ZA"/>
          <w14:ligatures w14:val="none"/>
        </w:rPr>
        <w:t>5</w:t>
      </w:r>
      <w:r w:rsidRPr="0050122D">
        <w:rPr>
          <w:rFonts w:ascii="Times New Roman" w:eastAsia="Calibri" w:hAnsi="Times New Roman" w:cs="Times New Roman"/>
          <w:b/>
          <w:bCs/>
          <w:kern w:val="0"/>
          <w:sz w:val="24"/>
          <w:szCs w:val="24"/>
          <w:lang w:val="en-US" w:eastAsia="en-ZA"/>
          <w14:ligatures w14:val="none"/>
        </w:rPr>
        <w:t xml:space="preserve"> </w:t>
      </w:r>
      <w:bookmarkStart w:id="26" w:name="_Toc180249510"/>
      <w:bookmarkStart w:id="27" w:name="_Toc183161999"/>
      <w:bookmarkStart w:id="28" w:name="_Hlk182469214"/>
      <w:bookmarkEnd w:id="2"/>
      <w:bookmarkEnd w:id="16"/>
      <w:bookmarkEnd w:id="17"/>
      <w:r w:rsidRPr="0050122D">
        <w:rPr>
          <w:rFonts w:ascii="Times New Roman" w:eastAsia="Calibri" w:hAnsi="Times New Roman" w:cs="Times New Roman"/>
          <w:b/>
          <w:bCs/>
          <w:kern w:val="0"/>
          <w:sz w:val="24"/>
          <w:szCs w:val="24"/>
          <w14:ligatures w14:val="none"/>
        </w:rPr>
        <w:t>Quantile cointegration</w:t>
      </w:r>
    </w:p>
    <w:p w14:paraId="0F67CB01" w14:textId="77777777" w:rsidR="0050122D" w:rsidRPr="0050122D" w:rsidRDefault="0050122D" w:rsidP="0050122D">
      <w:pPr>
        <w:spacing w:line="360" w:lineRule="auto"/>
        <w:jc w:val="both"/>
        <w:rPr>
          <w:rFonts w:ascii="Times New Roman" w:eastAsia="Times New Roman" w:hAnsi="Times New Roman" w:cs="Times New Roman"/>
          <w:kern w:val="0"/>
          <w:sz w:val="24"/>
          <w:szCs w:val="24"/>
          <w14:ligatures w14:val="none"/>
        </w:rPr>
      </w:pPr>
      <w:r w:rsidRPr="0050122D">
        <w:rPr>
          <w:rFonts w:ascii="Times New Roman" w:eastAsia="Aptos" w:hAnsi="Times New Roman" w:cs="Times New Roman"/>
          <w:iCs/>
          <w:sz w:val="24"/>
          <w:szCs w:val="24"/>
        </w:rPr>
        <w:t xml:space="preserve">This study adopted the cointegrating relation quantile processes which involve analysing cointegration relationships at various quantiles of the conditional distribution of the dependent variable. This methodology extends traditional cointegration analysis, to examine the cointegrating relationship that might vary across the distribution (Xiao, 2009; </w:t>
      </w:r>
      <w:bookmarkStart w:id="29" w:name="_Hlk177054620"/>
      <w:r w:rsidRPr="0050122D">
        <w:rPr>
          <w:rFonts w:ascii="Times New Roman" w:eastAsia="Aptos" w:hAnsi="Times New Roman" w:cs="Times New Roman"/>
          <w:iCs/>
          <w:sz w:val="24"/>
          <w:szCs w:val="24"/>
        </w:rPr>
        <w:t xml:space="preserve">Cho </w:t>
      </w:r>
      <w:r w:rsidRPr="0050122D">
        <w:rPr>
          <w:rFonts w:ascii="Times New Roman" w:eastAsia="Calibri" w:hAnsi="Times New Roman" w:cs="Times New Roman"/>
          <w:i/>
          <w:iCs/>
          <w:kern w:val="0"/>
          <w:sz w:val="24"/>
          <w:szCs w:val="24"/>
          <w14:ligatures w14:val="none"/>
        </w:rPr>
        <w:t>et al.</w:t>
      </w:r>
      <w:r w:rsidRPr="0050122D">
        <w:rPr>
          <w:rFonts w:ascii="Times New Roman" w:eastAsia="Calibri" w:hAnsi="Times New Roman" w:cs="Times New Roman"/>
          <w:kern w:val="0"/>
          <w:sz w:val="24"/>
          <w:szCs w:val="24"/>
          <w14:ligatures w14:val="none"/>
        </w:rPr>
        <w:t xml:space="preserve"> </w:t>
      </w:r>
      <w:r w:rsidRPr="0050122D">
        <w:rPr>
          <w:rFonts w:ascii="Times New Roman" w:eastAsia="Aptos" w:hAnsi="Times New Roman" w:cs="Times New Roman"/>
          <w:iCs/>
          <w:sz w:val="24"/>
          <w:szCs w:val="24"/>
        </w:rPr>
        <w:t>2015</w:t>
      </w:r>
      <w:bookmarkEnd w:id="29"/>
      <w:r w:rsidRPr="0050122D">
        <w:rPr>
          <w:rFonts w:ascii="Times New Roman" w:eastAsia="Aptos" w:hAnsi="Times New Roman" w:cs="Times New Roman"/>
          <w:iCs/>
          <w:sz w:val="24"/>
          <w:szCs w:val="24"/>
        </w:rPr>
        <w:t xml:space="preserve">). By employing quantile regression techniques, this method allows for the investigation of potential heterogeneity and asymmetry in the long-run relationships between variables at different points of the distribution, such as the median or extreme tails (Schweikert, 2018). </w:t>
      </w:r>
      <w:r w:rsidRPr="0050122D">
        <w:rPr>
          <w:rFonts w:ascii="Times New Roman" w:eastAsia="Times New Roman" w:hAnsi="Times New Roman" w:cs="Times New Roman"/>
          <w:kern w:val="0"/>
          <w:sz w:val="24"/>
          <w:szCs w:val="24"/>
          <w:lang w:eastAsia="en-ZA"/>
          <w14:ligatures w14:val="none"/>
        </w:rPr>
        <w:t>This type of analysis is particularly useful in econometrics for assessing non-linear dynamics in cointegrating relationships (</w:t>
      </w:r>
      <w:r w:rsidRPr="0050122D">
        <w:rPr>
          <w:rFonts w:ascii="Times New Roman" w:eastAsia="Aptos" w:hAnsi="Times New Roman" w:cs="Times New Roman"/>
          <w:iCs/>
          <w:sz w:val="24"/>
          <w:szCs w:val="24"/>
        </w:rPr>
        <w:t xml:space="preserve">Cho </w:t>
      </w:r>
      <w:r w:rsidRPr="0050122D">
        <w:rPr>
          <w:rFonts w:ascii="Times New Roman" w:eastAsia="Calibri" w:hAnsi="Times New Roman" w:cs="Times New Roman"/>
          <w:i/>
          <w:iCs/>
          <w:kern w:val="0"/>
          <w:sz w:val="24"/>
          <w:szCs w:val="24"/>
          <w14:ligatures w14:val="none"/>
        </w:rPr>
        <w:t>et al.</w:t>
      </w:r>
      <w:r w:rsidRPr="0050122D">
        <w:rPr>
          <w:rFonts w:ascii="Times New Roman" w:eastAsia="Calibri" w:hAnsi="Times New Roman" w:cs="Times New Roman"/>
          <w:kern w:val="0"/>
          <w:sz w:val="24"/>
          <w:szCs w:val="24"/>
          <w14:ligatures w14:val="none"/>
        </w:rPr>
        <w:t xml:space="preserve"> </w:t>
      </w:r>
      <w:r w:rsidRPr="0050122D">
        <w:rPr>
          <w:rFonts w:ascii="Times New Roman" w:eastAsia="Aptos" w:hAnsi="Times New Roman" w:cs="Times New Roman"/>
          <w:iCs/>
          <w:sz w:val="24"/>
          <w:szCs w:val="24"/>
        </w:rPr>
        <w:t>2015</w:t>
      </w:r>
      <w:r w:rsidRPr="0050122D">
        <w:rPr>
          <w:rFonts w:ascii="Times New Roman" w:eastAsia="Times New Roman" w:hAnsi="Times New Roman" w:cs="Times New Roman"/>
          <w:kern w:val="0"/>
          <w:sz w:val="24"/>
          <w:szCs w:val="24"/>
          <w:lang w:eastAsia="en-ZA"/>
          <w14:ligatures w14:val="none"/>
        </w:rPr>
        <w:t>).</w:t>
      </w:r>
      <w:r w:rsidRPr="0050122D">
        <w:rPr>
          <w:rFonts w:ascii="Times New Roman" w:eastAsia="Times New Roman" w:hAnsi="Times New Roman" w:cs="Times New Roman"/>
          <w:kern w:val="0"/>
          <w:sz w:val="24"/>
          <w:szCs w:val="24"/>
          <w14:ligatures w14:val="none"/>
        </w:rPr>
        <w:t xml:space="preserve"> </w:t>
      </w:r>
    </w:p>
    <w:p w14:paraId="1BE38C07" w14:textId="77777777" w:rsidR="0050122D" w:rsidRPr="0050122D" w:rsidRDefault="0050122D" w:rsidP="0050122D">
      <w:pPr>
        <w:spacing w:line="360" w:lineRule="auto"/>
        <w:jc w:val="both"/>
        <w:rPr>
          <w:rFonts w:ascii="Times New Roman" w:eastAsia="Aptos" w:hAnsi="Times New Roman" w:cs="Times New Roman"/>
          <w:iCs/>
          <w:sz w:val="24"/>
          <w:szCs w:val="24"/>
        </w:rPr>
      </w:pPr>
      <w:r w:rsidRPr="0050122D">
        <w:rPr>
          <w:rFonts w:ascii="Times New Roman" w:eastAsia="Times New Roman" w:hAnsi="Times New Roman" w:cs="Times New Roman"/>
          <w:kern w:val="0"/>
          <w:sz w:val="24"/>
          <w:szCs w:val="24"/>
          <w14:ligatures w14:val="none"/>
        </w:rPr>
        <w:t xml:space="preserve">In this study, the estimation of quantile cointegrating relationships is performed using the </w:t>
      </w:r>
      <w:r w:rsidRPr="0050122D">
        <w:rPr>
          <w:rFonts w:ascii="Times New Roman" w:eastAsia="Aptos" w:hAnsi="Times New Roman" w:cs="Times New Roman"/>
          <w:iCs/>
          <w:sz w:val="24"/>
          <w:szCs w:val="24"/>
        </w:rPr>
        <w:t xml:space="preserve">visual plot which has multiple quantile levels that show the cointegrating relation, and each line represents the behaviour of the cointegrating relation for different parts of the distribution, with the 0.5 quantile (median) being highlighted in red and labelled as “Estimated.” The decision rule is that if the cointegrating relationship holds at certain quantiles but not others, this suggests that the relationship between the variables may be </w:t>
      </w:r>
      <w:bookmarkStart w:id="30" w:name="_Hlk177059406"/>
      <w:r w:rsidRPr="0050122D">
        <w:rPr>
          <w:rFonts w:ascii="Times New Roman" w:eastAsia="Aptos" w:hAnsi="Times New Roman" w:cs="Times New Roman"/>
          <w:iCs/>
          <w:sz w:val="24"/>
          <w:szCs w:val="24"/>
        </w:rPr>
        <w:t>heterogeneous</w:t>
      </w:r>
      <w:bookmarkEnd w:id="30"/>
      <w:r w:rsidRPr="0050122D">
        <w:rPr>
          <w:rFonts w:ascii="Times New Roman" w:eastAsia="Aptos" w:hAnsi="Times New Roman" w:cs="Times New Roman"/>
          <w:iCs/>
          <w:sz w:val="24"/>
          <w:szCs w:val="24"/>
        </w:rPr>
        <w:t xml:space="preserve"> or asymmetric across the distribution (Schweikert, 2018). In other terms, if the different quantile lines generally move together but show some divergence in certain periods, this suggests that the relationship between the variables might vary across quantiles, which implies heterogeneity.</w:t>
      </w:r>
    </w:p>
    <w:p w14:paraId="037FB7E5" w14:textId="737E967E" w:rsidR="0050122D" w:rsidRPr="0050122D" w:rsidRDefault="0050122D" w:rsidP="0050122D">
      <w:pPr>
        <w:keepNext/>
        <w:spacing w:before="120" w:after="0" w:line="360" w:lineRule="auto"/>
        <w:ind w:left="851" w:hanging="851"/>
        <w:jc w:val="both"/>
        <w:rPr>
          <w:rFonts w:ascii="Times New Roman" w:eastAsia="Calibri" w:hAnsi="Times New Roman" w:cs="Times New Roman"/>
          <w:b/>
          <w:bCs/>
          <w:kern w:val="0"/>
          <w:sz w:val="24"/>
          <w:szCs w:val="24"/>
          <w14:ligatures w14:val="none"/>
        </w:rPr>
      </w:pPr>
      <w:r w:rsidRPr="0050122D">
        <w:rPr>
          <w:rFonts w:ascii="Times New Roman" w:eastAsia="Calibri" w:hAnsi="Times New Roman" w:cs="Times New Roman"/>
          <w:b/>
          <w:bCs/>
          <w:kern w:val="0"/>
          <w:sz w:val="24"/>
          <w:szCs w:val="24"/>
          <w:lang w:val="en-US" w:eastAsia="en-ZA"/>
          <w14:ligatures w14:val="none"/>
        </w:rPr>
        <w:t>3.</w:t>
      </w:r>
      <w:bookmarkStart w:id="31" w:name="_Toc180249507"/>
      <w:bookmarkStart w:id="32" w:name="_Toc183627147"/>
      <w:bookmarkEnd w:id="26"/>
      <w:bookmarkEnd w:id="27"/>
      <w:bookmarkEnd w:id="28"/>
      <w:r w:rsidR="002D3516">
        <w:rPr>
          <w:rFonts w:ascii="Times New Roman" w:eastAsia="Calibri" w:hAnsi="Times New Roman" w:cs="Times New Roman"/>
          <w:b/>
          <w:bCs/>
          <w:kern w:val="0"/>
          <w:sz w:val="24"/>
          <w:szCs w:val="24"/>
          <w:lang w:val="en-US" w:eastAsia="en-ZA"/>
          <w14:ligatures w14:val="none"/>
        </w:rPr>
        <w:t>6</w:t>
      </w:r>
      <w:r w:rsidRPr="0050122D">
        <w:rPr>
          <w:rFonts w:ascii="Times New Roman" w:eastAsia="Calibri" w:hAnsi="Times New Roman" w:cs="Times New Roman"/>
          <w:b/>
          <w:bCs/>
          <w:kern w:val="0"/>
          <w:sz w:val="24"/>
          <w:szCs w:val="24"/>
          <w:lang w:val="en-US" w:eastAsia="en-ZA"/>
          <w14:ligatures w14:val="none"/>
        </w:rPr>
        <w:t xml:space="preserve"> </w:t>
      </w:r>
      <w:r w:rsidRPr="0050122D">
        <w:rPr>
          <w:rFonts w:ascii="Times New Roman" w:eastAsia="Calibri" w:hAnsi="Times New Roman" w:cs="Times New Roman"/>
          <w:b/>
          <w:bCs/>
          <w:kern w:val="0"/>
          <w:sz w:val="24"/>
          <w:szCs w:val="24"/>
          <w14:ligatures w14:val="none"/>
        </w:rPr>
        <w:t>QARDL long and short run model specification</w:t>
      </w:r>
      <w:bookmarkEnd w:id="31"/>
      <w:bookmarkEnd w:id="32"/>
      <w:r w:rsidRPr="0050122D">
        <w:rPr>
          <w:rFonts w:ascii="Times New Roman" w:eastAsia="Calibri" w:hAnsi="Times New Roman" w:cs="Times New Roman"/>
          <w:b/>
          <w:bCs/>
          <w:kern w:val="0"/>
          <w:sz w:val="24"/>
          <w:szCs w:val="24"/>
          <w14:ligatures w14:val="none"/>
        </w:rPr>
        <w:t xml:space="preserve"> </w:t>
      </w:r>
    </w:p>
    <w:p w14:paraId="55BE8D61"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r w:rsidRPr="0050122D">
        <w:rPr>
          <w:rFonts w:ascii="Times New Roman" w:eastAsia="Calibri" w:hAnsi="Times New Roman" w:cs="Times New Roman"/>
          <w:kern w:val="0"/>
          <w:sz w:val="24"/>
          <w:szCs w:val="24"/>
          <w14:ligatures w14:val="none"/>
        </w:rPr>
        <w:t xml:space="preserve">In analysing the potential differential effects of PAYE tax across different levels of South African consumption of households, </w:t>
      </w:r>
      <w:bookmarkStart w:id="33" w:name="_Hlk177316547"/>
      <w:r w:rsidRPr="0050122D">
        <w:rPr>
          <w:rFonts w:ascii="Times New Roman" w:eastAsia="Calibri" w:hAnsi="Times New Roman" w:cs="Times New Roman"/>
          <w:kern w:val="0"/>
          <w:sz w:val="24"/>
          <w:szCs w:val="24"/>
          <w14:ligatures w14:val="none"/>
        </w:rPr>
        <w:t xml:space="preserve">this study modified the model previously used by Gohar </w:t>
      </w:r>
      <w:bookmarkStart w:id="34" w:name="_Hlk177053890"/>
      <w:r w:rsidRPr="0050122D">
        <w:rPr>
          <w:rFonts w:ascii="Times New Roman" w:eastAsia="Calibri" w:hAnsi="Times New Roman" w:cs="Times New Roman"/>
          <w:i/>
          <w:iCs/>
          <w:kern w:val="0"/>
          <w:sz w:val="24"/>
          <w:szCs w:val="24"/>
          <w14:ligatures w14:val="none"/>
        </w:rPr>
        <w:t>et al.</w:t>
      </w:r>
      <w:r w:rsidRPr="0050122D">
        <w:rPr>
          <w:rFonts w:ascii="Times New Roman" w:eastAsia="Calibri" w:hAnsi="Times New Roman" w:cs="Times New Roman"/>
          <w:kern w:val="0"/>
          <w:sz w:val="24"/>
          <w:szCs w:val="24"/>
          <w14:ligatures w14:val="none"/>
        </w:rPr>
        <w:t xml:space="preserve"> </w:t>
      </w:r>
      <w:bookmarkEnd w:id="34"/>
      <w:r w:rsidRPr="0050122D">
        <w:rPr>
          <w:rFonts w:ascii="Times New Roman" w:eastAsia="Calibri" w:hAnsi="Times New Roman" w:cs="Times New Roman"/>
          <w:kern w:val="0"/>
          <w:sz w:val="24"/>
          <w:szCs w:val="24"/>
          <w14:ligatures w14:val="none"/>
        </w:rPr>
        <w:t>(2022). That study examined the short-run and long-run effects of income and price changes across various quantiles of the consumption expenditures in 7 emerging countries over the period 1991 to 2020</w:t>
      </w:r>
      <w:bookmarkEnd w:id="33"/>
      <w:r w:rsidRPr="0050122D">
        <w:rPr>
          <w:rFonts w:ascii="Times New Roman" w:eastAsia="Calibri" w:hAnsi="Times New Roman" w:cs="Times New Roman"/>
          <w:kern w:val="0"/>
          <w:sz w:val="24"/>
          <w:szCs w:val="24"/>
          <w14:ligatures w14:val="none"/>
        </w:rPr>
        <w:t>, the mathematical formula takes the following form:</w:t>
      </w:r>
    </w:p>
    <w:p w14:paraId="0A429D21" w14:textId="77777777" w:rsidR="0050122D" w:rsidRPr="0050122D" w:rsidRDefault="00ED6F44" w:rsidP="0050122D">
      <w:pPr>
        <w:spacing w:after="240" w:line="360" w:lineRule="auto"/>
        <w:jc w:val="both"/>
        <w:rPr>
          <w:rFonts w:ascii="Times New Roman" w:eastAsia="Times New Roman" w:hAnsi="Times New Roman" w:cs="Times New Roman"/>
          <w:iCs/>
          <w:kern w:val="0"/>
          <w:sz w:val="24"/>
          <w:szCs w:val="24"/>
          <w14:ligatures w14:val="none"/>
        </w:rPr>
      </w:pPr>
      <m:oMath>
        <m:sSub>
          <m:sSubPr>
            <m:ctrlPr>
              <w:rPr>
                <w:rFonts w:ascii="Cambria Math" w:eastAsia="Calibri" w:hAnsi="Cambria Math" w:cs="Times New Roman"/>
                <w:i/>
                <w:kern w:val="0"/>
                <w:sz w:val="24"/>
                <w:szCs w:val="24"/>
                <w14:ligatures w14:val="none"/>
              </w:rPr>
            </m:ctrlPr>
          </m:sSubPr>
          <m:e>
            <m:r>
              <w:rPr>
                <w:rFonts w:ascii="Cambria Math" w:eastAsia="Calibri" w:hAnsi="Cambria Math" w:cs="Times New Roman"/>
                <w:kern w:val="0"/>
                <w:sz w:val="24"/>
                <w:szCs w:val="24"/>
                <w14:ligatures w14:val="none"/>
              </w:rPr>
              <m:t>Q</m:t>
            </m:r>
          </m:e>
          <m:sub>
            <m:r>
              <w:rPr>
                <w:rFonts w:ascii="Cambria Math" w:eastAsia="Calibri" w:hAnsi="Cambria Math" w:cs="Times New Roman"/>
                <w:kern w:val="0"/>
                <w:sz w:val="24"/>
                <w:szCs w:val="24"/>
                <w14:ligatures w14:val="none"/>
              </w:rPr>
              <m:t>CP</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0</m:t>
            </m:r>
          </m:sub>
        </m:sSub>
        <m:r>
          <w:rPr>
            <w:rFonts w:ascii="Cambria Math" w:eastAsia="Times New Roman" w:hAnsi="Cambria Math" w:cs="Times New Roman"/>
            <w:kern w:val="0"/>
            <w:sz w:val="24"/>
            <w:szCs w:val="24"/>
            <w14:ligatures w14:val="none"/>
          </w:rPr>
          <m:t>(τ)+</m:t>
        </m:r>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n1</m:t>
            </m:r>
          </m:sup>
          <m:e>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1</m:t>
                </m:r>
              </m:sub>
            </m:sSub>
          </m:e>
        </m:nary>
        <w:bookmarkStart w:id="35" w:name="_Hlk174350358"/>
        <m:r>
          <w:rPr>
            <w:rFonts w:ascii="Cambria Math" w:eastAsia="Times New Roman" w:hAnsi="Cambria Math" w:cs="Times New Roman"/>
            <w:kern w:val="0"/>
            <w:sz w:val="24"/>
            <w:szCs w:val="24"/>
            <w14:ligatures w14:val="none"/>
          </w:rPr>
          <m:t>(τ)∆</m:t>
        </m:r>
        <w:bookmarkStart w:id="36" w:name="_Hlk174351035"/>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InCP</m:t>
            </m:r>
          </m:e>
          <m:sub>
            <m:r>
              <w:rPr>
                <w:rFonts w:ascii="Cambria Math" w:eastAsia="Times New Roman" w:hAnsi="Cambria Math" w:cs="Times New Roman"/>
                <w:kern w:val="0"/>
                <w:sz w:val="24"/>
                <w:szCs w:val="24"/>
                <w14:ligatures w14:val="none"/>
              </w:rPr>
              <m:t>t-i</m:t>
            </m:r>
          </m:sub>
        </m:sSub>
      </m:oMath>
      <w:bookmarkEnd w:id="35"/>
      <w:bookmarkEnd w:id="36"/>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i=0</m:t>
            </m:r>
          </m:sub>
          <m:sup>
            <m:r>
              <w:rPr>
                <w:rFonts w:ascii="Cambria Math" w:eastAsia="Times New Roman" w:hAnsi="Cambria Math" w:cs="Times New Roman"/>
                <w:kern w:val="0"/>
                <w:sz w:val="24"/>
                <w:szCs w:val="24"/>
                <w14:ligatures w14:val="none"/>
              </w:rPr>
              <m:t>n2</m:t>
            </m:r>
          </m:sup>
          <m:e>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2</m:t>
                </m:r>
              </m:sub>
            </m:sSub>
          </m:e>
        </m:nary>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InNI</m:t>
            </m:r>
          </m:e>
          <m:sub>
            <m:r>
              <w:rPr>
                <w:rFonts w:ascii="Cambria Math" w:eastAsia="Times New Roman" w:hAnsi="Cambria Math" w:cs="Times New Roman"/>
                <w:kern w:val="0"/>
                <w:sz w:val="24"/>
                <w:szCs w:val="24"/>
                <w14:ligatures w14:val="none"/>
              </w:rPr>
              <m:t>t-i</m:t>
            </m:r>
          </m:sub>
        </m:sSub>
        <m:r>
          <w:rPr>
            <w:rFonts w:ascii="Cambria Math" w:eastAsia="Times New Roman" w:hAnsi="Cambria Math" w:cs="Times New Roman"/>
            <w:kern w:val="0"/>
            <w:sz w:val="24"/>
            <w:szCs w:val="24"/>
            <w14:ligatures w14:val="none"/>
          </w:rPr>
          <m:t>+</m:t>
        </m:r>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i=0</m:t>
            </m:r>
          </m:sub>
          <m:sup>
            <m:r>
              <w:rPr>
                <w:rFonts w:ascii="Cambria Math" w:eastAsia="Times New Roman" w:hAnsi="Cambria Math" w:cs="Times New Roman"/>
                <w:kern w:val="0"/>
                <w:sz w:val="24"/>
                <w:szCs w:val="24"/>
                <w14:ligatures w14:val="none"/>
              </w:rPr>
              <m:t>n3</m:t>
            </m:r>
          </m:sup>
          <m:e>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3</m:t>
                </m:r>
              </m:sub>
            </m:sSub>
          </m:e>
        </m:nary>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InPR</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i=0</m:t>
            </m:r>
          </m:sub>
          <m:sup>
            <m:r>
              <w:rPr>
                <w:rFonts w:ascii="Cambria Math" w:eastAsia="Times New Roman" w:hAnsi="Cambria Math" w:cs="Times New Roman"/>
                <w:kern w:val="0"/>
                <w:sz w:val="24"/>
                <w:szCs w:val="24"/>
                <w14:ligatures w14:val="none"/>
              </w:rPr>
              <m:t>n3</m:t>
            </m:r>
          </m:sup>
          <m:e>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4</m:t>
                </m:r>
              </m:sub>
            </m:sSub>
          </m:e>
        </m:nary>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InIR</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1</m:t>
            </m:r>
          </m:sub>
        </m:sSub>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InCP</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2</m:t>
            </m:r>
          </m:sub>
        </m:sSub>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InNI</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3</m:t>
            </m:r>
          </m:sub>
        </m:sSub>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InPR</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4</m:t>
            </m:r>
          </m:sub>
        </m:sSub>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InIR</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e</m:t>
            </m:r>
          </m:e>
          <m:sub>
            <m:r>
              <w:rPr>
                <w:rFonts w:ascii="Cambria Math" w:eastAsia="Times New Roman" w:hAnsi="Cambria Math" w:cs="Times New Roman"/>
                <w:kern w:val="0"/>
                <w:sz w:val="24"/>
                <w:szCs w:val="24"/>
                <w14:ligatures w14:val="none"/>
              </w:rPr>
              <m:t>t</m:t>
            </m:r>
          </m:sub>
        </m:sSub>
        <m:r>
          <w:rPr>
            <w:rFonts w:ascii="Cambria Math" w:eastAsia="Times New Roman" w:hAnsi="Cambria Math" w:cs="Times New Roman"/>
            <w:kern w:val="0"/>
            <w:sz w:val="24"/>
            <w:szCs w:val="24"/>
            <w14:ligatures w14:val="none"/>
          </w:rPr>
          <m:t>(τ)</m:t>
        </m:r>
      </m:oMath>
      <w:r w:rsidR="0050122D" w:rsidRPr="0050122D">
        <w:rPr>
          <w:rFonts w:ascii="Times New Roman" w:eastAsia="Times New Roman" w:hAnsi="Times New Roman" w:cs="Times New Roman"/>
          <w:iCs/>
          <w:kern w:val="0"/>
          <w:sz w:val="24"/>
          <w:szCs w:val="24"/>
          <w14:ligatures w14:val="none"/>
        </w:rPr>
        <w:t xml:space="preserve"> …………………………………………………………………..…..………………..………….(9)</w:t>
      </w:r>
    </w:p>
    <w:p w14:paraId="3892BB21" w14:textId="77777777" w:rsidR="0050122D" w:rsidRPr="0050122D" w:rsidRDefault="0050122D" w:rsidP="0050122D">
      <w:pPr>
        <w:spacing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iCs/>
          <w:kern w:val="0"/>
          <w:sz w:val="24"/>
          <w:szCs w:val="24"/>
          <w14:ligatures w14:val="none"/>
        </w:rPr>
        <w:t xml:space="preserve">Where </w:t>
      </w:r>
      <m:oMath>
        <m:r>
          <w:rPr>
            <w:rFonts w:ascii="Cambria Math" w:eastAsia="Times New Roman" w:hAnsi="Cambria Math" w:cs="Times New Roman"/>
            <w:kern w:val="0"/>
            <w:sz w:val="24"/>
            <w:szCs w:val="24"/>
            <w:lang w:eastAsia="en-ZA"/>
            <w14:ligatures w14:val="none"/>
          </w:rPr>
          <m:t>CP</m:t>
        </m:r>
      </m:oMath>
      <w:r w:rsidRPr="0050122D">
        <w:rPr>
          <w:rFonts w:ascii="Times New Roman" w:eastAsia="Times New Roman" w:hAnsi="Times New Roman" w:cs="Times New Roman"/>
          <w:kern w:val="0"/>
          <w:sz w:val="24"/>
          <w:szCs w:val="24"/>
          <w:lang w:eastAsia="en-ZA"/>
          <w14:ligatures w14:val="none"/>
        </w:rPr>
        <w:t xml:space="preserve"> stands for household consumption, </w:t>
      </w:r>
      <w:bookmarkStart w:id="37" w:name="_Hlk174354543"/>
      <m:oMath>
        <m:r>
          <w:rPr>
            <w:rFonts w:ascii="Cambria Math" w:eastAsia="Times New Roman" w:hAnsi="Cambria Math" w:cs="Times New Roman"/>
            <w:kern w:val="0"/>
            <w:sz w:val="24"/>
            <w:szCs w:val="24"/>
            <w:lang w:eastAsia="en-ZA"/>
            <w14:ligatures w14:val="none"/>
          </w:rPr>
          <m:t>NI</m:t>
        </m:r>
      </m:oMath>
      <w:r w:rsidRPr="0050122D">
        <w:rPr>
          <w:rFonts w:ascii="Times New Roman" w:eastAsia="Times New Roman" w:hAnsi="Times New Roman" w:cs="Times New Roman"/>
          <w:kern w:val="0"/>
          <w:sz w:val="24"/>
          <w:szCs w:val="24"/>
          <w:lang w:eastAsia="en-ZA"/>
          <w14:ligatures w14:val="none"/>
        </w:rPr>
        <w:t xml:space="preserve"> represents income, </w:t>
      </w:r>
      <m:oMath>
        <m:r>
          <w:rPr>
            <w:rFonts w:ascii="Cambria Math" w:eastAsia="Times New Roman" w:hAnsi="Cambria Math" w:cs="Times New Roman"/>
            <w:kern w:val="0"/>
            <w:sz w:val="24"/>
            <w:szCs w:val="24"/>
            <w:lang w:eastAsia="en-ZA"/>
            <w14:ligatures w14:val="none"/>
          </w:rPr>
          <m:t>PR</m:t>
        </m:r>
      </m:oMath>
      <w:r w:rsidRPr="0050122D">
        <w:rPr>
          <w:rFonts w:ascii="Times New Roman" w:eastAsia="Times New Roman" w:hAnsi="Times New Roman" w:cs="Times New Roman"/>
          <w:kern w:val="0"/>
          <w:sz w:val="24"/>
          <w:szCs w:val="24"/>
          <w:lang w:eastAsia="en-ZA"/>
          <w14:ligatures w14:val="none"/>
        </w:rPr>
        <w:t xml:space="preserve"> is prices, </w:t>
      </w:r>
      <m:oMath>
        <m:r>
          <w:rPr>
            <w:rFonts w:ascii="Cambria Math" w:eastAsia="Times New Roman" w:hAnsi="Cambria Math" w:cs="Times New Roman"/>
            <w:kern w:val="0"/>
            <w:sz w:val="24"/>
            <w:szCs w:val="24"/>
            <w:lang w:eastAsia="en-ZA"/>
            <w14:ligatures w14:val="none"/>
          </w:rPr>
          <m:t>IR</m:t>
        </m:r>
      </m:oMath>
      <w:r w:rsidRPr="0050122D">
        <w:rPr>
          <w:rFonts w:ascii="Times New Roman" w:eastAsia="Times New Roman" w:hAnsi="Times New Roman" w:cs="Times New Roman"/>
          <w:kern w:val="0"/>
          <w:sz w:val="24"/>
          <w:szCs w:val="24"/>
          <w:lang w:eastAsia="en-ZA"/>
          <w14:ligatures w14:val="none"/>
        </w:rPr>
        <w:t xml:space="preserve"> is interest rate. </w:t>
      </w:r>
      <w:bookmarkEnd w:id="37"/>
      <w:r w:rsidRPr="0050122D">
        <w:rPr>
          <w:rFonts w:ascii="Times New Roman" w:eastAsia="Times New Roman" w:hAnsi="Times New Roman" w:cs="Times New Roman"/>
          <w:kern w:val="0"/>
          <w:sz w:val="24"/>
          <w:szCs w:val="24"/>
          <w14:ligatures w14:val="none"/>
        </w:rPr>
        <w:t xml:space="preserve">This study modified equation (9) by excluding variables that were not reviewed by the current study, such as </w:t>
      </w:r>
      <m:oMath>
        <m:r>
          <w:rPr>
            <w:rFonts w:ascii="Cambria Math" w:eastAsia="Times New Roman" w:hAnsi="Cambria Math" w:cs="Times New Roman"/>
            <w:kern w:val="0"/>
            <w:sz w:val="24"/>
            <w:szCs w:val="24"/>
            <w:lang w:eastAsia="en-ZA"/>
            <w14:ligatures w14:val="none"/>
          </w:rPr>
          <m:t>IR</m:t>
        </m:r>
      </m:oMath>
      <w:r w:rsidRPr="0050122D">
        <w:rPr>
          <w:rFonts w:ascii="Times New Roman" w:eastAsia="Times New Roman" w:hAnsi="Times New Roman" w:cs="Times New Roman"/>
          <w:kern w:val="0"/>
          <w:sz w:val="24"/>
          <w:szCs w:val="24"/>
          <w:lang w:eastAsia="en-ZA"/>
          <w14:ligatures w14:val="none"/>
        </w:rPr>
        <w:t xml:space="preserve"> the interest rate, </w:t>
      </w:r>
      <m:oMath>
        <m:r>
          <w:rPr>
            <w:rFonts w:ascii="Cambria Math" w:eastAsia="Times New Roman" w:hAnsi="Cambria Math" w:cs="Times New Roman"/>
            <w:kern w:val="0"/>
            <w:sz w:val="24"/>
            <w:szCs w:val="24"/>
            <w:lang w:eastAsia="en-ZA"/>
            <w14:ligatures w14:val="none"/>
          </w:rPr>
          <m:t>NI</m:t>
        </m:r>
      </m:oMath>
      <w:r w:rsidRPr="0050122D">
        <w:rPr>
          <w:rFonts w:ascii="Times New Roman" w:eastAsia="Times New Roman" w:hAnsi="Times New Roman" w:cs="Times New Roman"/>
          <w:kern w:val="0"/>
          <w:sz w:val="24"/>
          <w:szCs w:val="24"/>
          <w14:ligatures w14:val="none"/>
        </w:rPr>
        <w:t xml:space="preserve">: income, and </w:t>
      </w:r>
      <m:oMath>
        <m:r>
          <w:rPr>
            <w:rFonts w:ascii="Cambria Math" w:eastAsia="Times New Roman" w:hAnsi="Cambria Math" w:cs="Times New Roman"/>
            <w:kern w:val="0"/>
            <w:sz w:val="24"/>
            <w:szCs w:val="24"/>
            <w:lang w:eastAsia="en-ZA"/>
            <w14:ligatures w14:val="none"/>
          </w:rPr>
          <m:t>PR</m:t>
        </m:r>
      </m:oMath>
      <w:r w:rsidRPr="0050122D">
        <w:rPr>
          <w:rFonts w:ascii="Times New Roman" w:eastAsia="Times New Roman" w:hAnsi="Times New Roman" w:cs="Times New Roman"/>
          <w:kern w:val="0"/>
          <w:sz w:val="24"/>
          <w:szCs w:val="24"/>
          <w14:ligatures w14:val="none"/>
        </w:rPr>
        <w:t xml:space="preserve">: prices. This study replaced these variables by PAYE tax, household disposable income, and unemployment to fulfil the aim of the research. Another variable was used as-is, household consumption which takes the following abbreviation </w:t>
      </w:r>
      <m:oMath>
        <m:r>
          <w:rPr>
            <w:rFonts w:ascii="Cambria Math" w:eastAsia="Times New Roman" w:hAnsi="Cambria Math" w:cs="Times New Roman"/>
            <w:kern w:val="0"/>
            <w:sz w:val="24"/>
            <w:szCs w:val="24"/>
            <w14:ligatures w14:val="none"/>
          </w:rPr>
          <m:t>(HC)</m:t>
        </m:r>
      </m:oMath>
      <w:r w:rsidRPr="0050122D">
        <w:rPr>
          <w:rFonts w:ascii="Times New Roman" w:eastAsia="Times New Roman" w:hAnsi="Times New Roman" w:cs="Times New Roman"/>
          <w:kern w:val="0"/>
          <w:sz w:val="24"/>
          <w:szCs w:val="24"/>
          <w14:ligatures w14:val="none"/>
        </w:rPr>
        <w:t>. Therefore, the following equation is in line with equation (9), which represents the long run QARDL technique</w:t>
      </w:r>
      <w:r w:rsidRPr="0050122D">
        <w:rPr>
          <w:rFonts w:ascii="Times New Roman" w:eastAsia="Times New Roman" w:hAnsi="Times New Roman" w:cs="Times New Roman"/>
          <w:kern w:val="0"/>
          <w:sz w:val="24"/>
          <w:szCs w:val="20"/>
          <w14:ligatures w14:val="none"/>
        </w:rPr>
        <w:t xml:space="preserve"> </w:t>
      </w:r>
      <w:r w:rsidRPr="0050122D">
        <w:rPr>
          <w:rFonts w:ascii="Times New Roman" w:eastAsia="Times New Roman" w:hAnsi="Times New Roman" w:cs="Times New Roman"/>
          <w:kern w:val="0"/>
          <w:sz w:val="24"/>
          <w:szCs w:val="24"/>
          <w14:ligatures w14:val="none"/>
        </w:rPr>
        <w:t>for this thesis is formulated as follows:</w:t>
      </w:r>
    </w:p>
    <w:p w14:paraId="7021A70B" w14:textId="77777777" w:rsidR="0050122D" w:rsidRPr="0050122D" w:rsidRDefault="00ED6F44" w:rsidP="0050122D">
      <w:pPr>
        <w:spacing w:after="240" w:line="360" w:lineRule="auto"/>
        <w:jc w:val="both"/>
        <w:rPr>
          <w:rFonts w:ascii="Times New Roman" w:eastAsia="Times New Roman" w:hAnsi="Times New Roman" w:cs="Times New Roman"/>
          <w:iCs/>
          <w:kern w:val="0"/>
          <w:sz w:val="24"/>
          <w:szCs w:val="24"/>
          <w14:ligatures w14:val="none"/>
        </w:rPr>
      </w:pPr>
      <m:oMath>
        <m:sSub>
          <m:sSubPr>
            <m:ctrlPr>
              <w:rPr>
                <w:rFonts w:ascii="Cambria Math" w:eastAsia="Calibri" w:hAnsi="Cambria Math" w:cs="Times New Roman"/>
                <w:i/>
                <w:kern w:val="0"/>
                <w:sz w:val="24"/>
                <w:szCs w:val="24"/>
                <w14:ligatures w14:val="none"/>
              </w:rPr>
            </m:ctrlPr>
          </m:sSubPr>
          <m:e>
            <m:r>
              <w:rPr>
                <w:rFonts w:ascii="Cambria Math" w:eastAsia="Calibri" w:hAnsi="Cambria Math" w:cs="Times New Roman"/>
                <w:kern w:val="0"/>
                <w:sz w:val="24"/>
                <w:szCs w:val="24"/>
                <w14:ligatures w14:val="none"/>
              </w:rPr>
              <m:t>Q</m:t>
            </m:r>
          </m:e>
          <m:sub>
            <m:r>
              <w:rPr>
                <w:rFonts w:ascii="Cambria Math" w:eastAsia="Calibri" w:hAnsi="Cambria Math" w:cs="Times New Roman"/>
                <w:kern w:val="0"/>
                <w:sz w:val="24"/>
                <w:szCs w:val="24"/>
                <w14:ligatures w14:val="none"/>
              </w:rPr>
              <m:t>HC</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0</m:t>
            </m:r>
          </m:sub>
        </m:sSub>
        <m:r>
          <w:rPr>
            <w:rFonts w:ascii="Cambria Math" w:eastAsia="Times New Roman" w:hAnsi="Cambria Math" w:cs="Times New Roman"/>
            <w:kern w:val="0"/>
            <w:sz w:val="24"/>
            <w:szCs w:val="24"/>
            <w14:ligatures w14:val="none"/>
          </w:rPr>
          <m:t>(τ)</m:t>
        </m:r>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1</m:t>
            </m:r>
          </m:sub>
        </m:sSub>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InHC</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2</m:t>
            </m:r>
          </m:sub>
        </m:sSub>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InLPAYE</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3</m:t>
            </m:r>
          </m:sub>
        </m:sSub>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InLUER</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e</m:t>
            </m:r>
          </m:e>
          <m:sub>
            <m:r>
              <w:rPr>
                <w:rFonts w:ascii="Cambria Math" w:eastAsia="Times New Roman" w:hAnsi="Cambria Math" w:cs="Times New Roman"/>
                <w:kern w:val="0"/>
                <w:sz w:val="24"/>
                <w:szCs w:val="24"/>
                <w14:ligatures w14:val="none"/>
              </w:rPr>
              <m:t>t</m:t>
            </m:r>
          </m:sub>
        </m:sSub>
        <m:r>
          <w:rPr>
            <w:rFonts w:ascii="Cambria Math" w:eastAsia="Times New Roman" w:hAnsi="Cambria Math" w:cs="Times New Roman"/>
            <w:kern w:val="0"/>
            <w:sz w:val="24"/>
            <w:szCs w:val="24"/>
            <w14:ligatures w14:val="none"/>
          </w:rPr>
          <m:t>(τ)</m:t>
        </m:r>
      </m:oMath>
      <w:r w:rsidR="0050122D" w:rsidRPr="0050122D">
        <w:rPr>
          <w:rFonts w:ascii="Times New Roman" w:eastAsia="Times New Roman" w:hAnsi="Times New Roman" w:cs="Times New Roman"/>
          <w:iCs/>
          <w:kern w:val="0"/>
          <w:sz w:val="24"/>
          <w:szCs w:val="24"/>
          <w14:ligatures w14:val="none"/>
        </w:rPr>
        <w:t xml:space="preserve"> ……............(10)</w:t>
      </w:r>
    </w:p>
    <w:p w14:paraId="56124AD4"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Calibri" w:hAnsi="Times New Roman" w:cs="Times New Roman"/>
          <w:kern w:val="0"/>
          <w:sz w:val="24"/>
          <w:szCs w:val="24"/>
          <w14:ligatures w14:val="none"/>
        </w:rPr>
        <w:t>Where</w:t>
      </w:r>
      <w:r w:rsidRPr="0050122D">
        <w:rPr>
          <w:rFonts w:ascii="Times New Roman" w:eastAsia="Times New Roman" w:hAnsi="Times New Roman" w:cs="Times New Roman"/>
          <w:i/>
          <w:iCs/>
          <w:kern w:val="0"/>
          <w:sz w:val="24"/>
          <w:szCs w:val="24"/>
          <w14:ligatures w14:val="none"/>
        </w:rPr>
        <w:t xml:space="preserve"> </w:t>
      </w:r>
      <m:oMath>
        <m:r>
          <w:rPr>
            <w:rFonts w:ascii="Cambria Math" w:eastAsia="Times New Roman"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 xml:space="preserve"> signifies the quantile distribution,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1</m:t>
            </m:r>
          </m:sub>
        </m:sSub>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2,</m:t>
            </m:r>
          </m:sub>
        </m:sSub>
      </m:oMath>
      <w:r w:rsidRPr="0050122D">
        <w:rPr>
          <w:rFonts w:ascii="Times New Roman" w:eastAsia="Times New Roman" w:hAnsi="Times New Roman" w:cs="Times New Roman"/>
          <w:iCs/>
          <w:kern w:val="0"/>
          <w:sz w:val="24"/>
          <w:szCs w:val="24"/>
          <w14:ligatures w14:val="none"/>
        </w:rPr>
        <w:t xml:space="preserve"> and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α</m:t>
            </m:r>
          </m:e>
          <m:sub>
            <m:r>
              <w:rPr>
                <w:rFonts w:ascii="Cambria Math" w:eastAsia="Times New Roman" w:hAnsi="Cambria Math" w:cs="Times New Roman"/>
                <w:kern w:val="0"/>
                <w:sz w:val="24"/>
                <w:szCs w:val="24"/>
                <w14:ligatures w14:val="none"/>
              </w:rPr>
              <m:t>3</m:t>
            </m:r>
          </m:sub>
        </m:sSub>
      </m:oMath>
      <w:r w:rsidRPr="0050122D">
        <w:rPr>
          <w:rFonts w:ascii="Times New Roman" w:eastAsia="Times New Roman" w:hAnsi="Times New Roman" w:cs="Times New Roman"/>
          <w:iCs/>
          <w:kern w:val="0"/>
          <w:sz w:val="24"/>
          <w:szCs w:val="24"/>
          <w14:ligatures w14:val="none"/>
        </w:rPr>
        <w:t xml:space="preserve"> represent the long-run coefficients which</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Times New Roman" w:hAnsi="Times New Roman" w:cs="Times New Roman"/>
          <w:iCs/>
          <w:kern w:val="0"/>
          <w:sz w:val="24"/>
          <w:szCs w:val="24"/>
          <w14:ligatures w14:val="none"/>
        </w:rPr>
        <w:t xml:space="preserve">capture the long-term equilibrium relationship between the dependent variable and independent variables. </w:t>
      </w:r>
      <w:r w:rsidRPr="0050122D">
        <w:rPr>
          <w:rFonts w:ascii="Times New Roman" w:eastAsia="Times New Roman" w:hAnsi="Times New Roman" w:cs="Times New Roman"/>
          <w:kern w:val="0"/>
          <w:sz w:val="24"/>
          <w:szCs w:val="24"/>
          <w:lang w:eastAsia="en-ZA"/>
          <w14:ligatures w14:val="none"/>
        </w:rPr>
        <w:t xml:space="preserve">After the QARDL long run model, this study also conducted the short run model, since the long-run model focuses on the equilibrium relationship, while the short-run model deals with the dynamics of how the system adjusts to changes. </w:t>
      </w:r>
      <w:r w:rsidRPr="0050122D">
        <w:rPr>
          <w:rFonts w:ascii="Times New Roman" w:eastAsia="Times New Roman" w:hAnsi="Times New Roman" w:cs="Times New Roman"/>
          <w:iCs/>
          <w:kern w:val="0"/>
          <w:sz w:val="24"/>
          <w:szCs w:val="24"/>
          <w14:ligatures w14:val="none"/>
        </w:rPr>
        <w:t xml:space="preserve">Therefore, the short run QARDL model for this study can be presented in its functional form below: </w:t>
      </w:r>
    </w:p>
    <w:p w14:paraId="16CD8E58" w14:textId="77777777" w:rsidR="0050122D" w:rsidRPr="0050122D" w:rsidRDefault="00ED6F44" w:rsidP="0050122D">
      <w:pPr>
        <w:spacing w:after="240" w:line="360" w:lineRule="auto"/>
        <w:jc w:val="both"/>
        <w:rPr>
          <w:rFonts w:ascii="Times New Roman" w:eastAsia="Times New Roman" w:hAnsi="Times New Roman" w:cs="Times New Roman"/>
          <w:iCs/>
          <w:kern w:val="0"/>
          <w:sz w:val="24"/>
          <w:szCs w:val="24"/>
          <w14:ligatures w14:val="none"/>
        </w:rPr>
      </w:pPr>
      <m:oMath>
        <m:sSub>
          <m:sSubPr>
            <m:ctrlPr>
              <w:rPr>
                <w:rFonts w:ascii="Cambria Math" w:eastAsia="Calibri" w:hAnsi="Cambria Math" w:cs="Times New Roman"/>
                <w:i/>
                <w:kern w:val="0"/>
                <w:sz w:val="24"/>
                <w:szCs w:val="24"/>
                <w14:ligatures w14:val="none"/>
              </w:rPr>
            </m:ctrlPr>
          </m:sSubPr>
          <m:e>
            <m:r>
              <w:rPr>
                <w:rFonts w:ascii="Cambria Math" w:eastAsia="Calibri" w:hAnsi="Cambria Math" w:cs="Times New Roman"/>
                <w:kern w:val="0"/>
                <w:sz w:val="24"/>
                <w:szCs w:val="24"/>
                <w14:ligatures w14:val="none"/>
              </w:rPr>
              <m:t>Q</m:t>
            </m:r>
          </m:e>
          <m:sub>
            <m:r>
              <w:rPr>
                <w:rFonts w:ascii="Cambria Math" w:eastAsia="Calibri" w:hAnsi="Cambria Math" w:cs="Times New Roman"/>
                <w:kern w:val="0"/>
                <w:sz w:val="24"/>
                <w:szCs w:val="24"/>
                <w14:ligatures w14:val="none"/>
              </w:rPr>
              <m:t>HC</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0</m:t>
            </m:r>
          </m:sub>
        </m:sSub>
        <m:r>
          <w:rPr>
            <w:rFonts w:ascii="Cambria Math" w:eastAsia="Times New Roman" w:hAnsi="Cambria Math" w:cs="Times New Roman"/>
            <w:kern w:val="0"/>
            <w:sz w:val="24"/>
            <w:szCs w:val="24"/>
            <w14:ligatures w14:val="none"/>
          </w:rPr>
          <m:t>(τ)+</m:t>
        </m:r>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i=1</m:t>
            </m:r>
          </m:sub>
          <m:sup>
            <m:r>
              <w:rPr>
                <w:rFonts w:ascii="Cambria Math" w:eastAsia="Times New Roman" w:hAnsi="Cambria Math" w:cs="Times New Roman"/>
                <w:kern w:val="0"/>
                <w:sz w:val="24"/>
                <w:szCs w:val="24"/>
                <w14:ligatures w14:val="none"/>
              </w:rPr>
              <m:t>n1</m:t>
            </m:r>
          </m:sup>
          <m:e>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1</m:t>
                </m:r>
              </m:sub>
            </m:sSub>
          </m:e>
        </m:nary>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InHC</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kern w:val="0"/>
          <w:sz w:val="24"/>
          <w:szCs w:val="24"/>
          <w14:ligatures w14:val="none"/>
        </w:rPr>
        <w:t xml:space="preserve"> </w:t>
      </w:r>
      <m:oMath>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i=0</m:t>
            </m:r>
          </m:sub>
          <m:sup>
            <m:r>
              <w:rPr>
                <w:rFonts w:ascii="Cambria Math" w:eastAsia="Times New Roman" w:hAnsi="Cambria Math" w:cs="Times New Roman"/>
                <w:kern w:val="0"/>
                <w:sz w:val="24"/>
                <w:szCs w:val="24"/>
                <w14:ligatures w14:val="none"/>
              </w:rPr>
              <m:t>n2</m:t>
            </m:r>
          </m:sup>
          <m:e>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2</m:t>
                </m:r>
              </m:sub>
            </m:sSub>
          </m:e>
        </m:nary>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InLPAYE</m:t>
            </m:r>
          </m:e>
          <m:sub>
            <m:r>
              <w:rPr>
                <w:rFonts w:ascii="Cambria Math" w:eastAsia="Times New Roman" w:hAnsi="Cambria Math" w:cs="Times New Roman"/>
                <w:kern w:val="0"/>
                <w:sz w:val="24"/>
                <w:szCs w:val="24"/>
                <w14:ligatures w14:val="none"/>
              </w:rPr>
              <m:t>t-i</m:t>
            </m:r>
          </m:sub>
        </m:sSub>
        <m:r>
          <w:rPr>
            <w:rFonts w:ascii="Cambria Math" w:eastAsia="Times New Roman" w:hAnsi="Cambria Math" w:cs="Times New Roman"/>
            <w:kern w:val="0"/>
            <w:sz w:val="24"/>
            <w:szCs w:val="24"/>
            <w14:ligatures w14:val="none"/>
          </w:rPr>
          <m:t>+</m:t>
        </m:r>
        <m:nary>
          <m:naryPr>
            <m:chr m:val="∑"/>
            <m:limLoc m:val="undOvr"/>
            <m:ctrlPr>
              <w:rPr>
                <w:rFonts w:ascii="Cambria Math" w:eastAsia="Times New Roman" w:hAnsi="Cambria Math" w:cs="Times New Roman"/>
                <w:i/>
                <w:kern w:val="0"/>
                <w:sz w:val="24"/>
                <w:szCs w:val="24"/>
                <w14:ligatures w14:val="none"/>
              </w:rPr>
            </m:ctrlPr>
          </m:naryPr>
          <m:sub>
            <m:r>
              <w:rPr>
                <w:rFonts w:ascii="Cambria Math" w:eastAsia="Times New Roman" w:hAnsi="Cambria Math" w:cs="Times New Roman"/>
                <w:kern w:val="0"/>
                <w:sz w:val="24"/>
                <w:szCs w:val="24"/>
                <w14:ligatures w14:val="none"/>
              </w:rPr>
              <m:t>i=0</m:t>
            </m:r>
          </m:sub>
          <m:sup>
            <m:r>
              <w:rPr>
                <w:rFonts w:ascii="Cambria Math" w:eastAsia="Times New Roman" w:hAnsi="Cambria Math" w:cs="Times New Roman"/>
                <w:kern w:val="0"/>
                <w:sz w:val="24"/>
                <w:szCs w:val="24"/>
                <w14:ligatures w14:val="none"/>
              </w:rPr>
              <m:t>n3</m:t>
            </m:r>
          </m:sup>
          <m:e>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3</m:t>
                </m:r>
              </m:sub>
            </m:sSub>
          </m:e>
        </m:nary>
        <m:r>
          <w:rPr>
            <w:rFonts w:ascii="Cambria Math" w:eastAsia="Times New Roman" w:hAnsi="Cambria Math" w:cs="Times New Roman"/>
            <w:kern w:val="0"/>
            <w:sz w:val="24"/>
            <w:szCs w:val="24"/>
            <w14:ligatures w14:val="none"/>
          </w:rPr>
          <m:t>(τ)∆</m:t>
        </m:r>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InLUER</m:t>
            </m:r>
          </m:e>
          <m:sub>
            <m:r>
              <w:rPr>
                <w:rFonts w:ascii="Cambria Math" w:eastAsia="Times New Roman" w:hAnsi="Cambria Math" w:cs="Times New Roman"/>
                <w:kern w:val="0"/>
                <w:sz w:val="24"/>
                <w:szCs w:val="24"/>
                <w14:ligatures w14:val="none"/>
              </w:rPr>
              <m:t>t-i</m:t>
            </m:r>
          </m:sub>
        </m:sSub>
      </m:oMath>
      <w:r w:rsidR="0050122D" w:rsidRPr="0050122D">
        <w:rPr>
          <w:rFonts w:ascii="Times New Roman" w:eastAsia="Times New Roman" w:hAnsi="Times New Roman" w:cs="Times New Roman"/>
          <w:iCs/>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0050122D" w:rsidRPr="0050122D">
        <w:rPr>
          <w:rFonts w:ascii="Times New Roman" w:eastAsia="Times New Roman" w:hAnsi="Times New Roman" w:cs="Times New Roman"/>
          <w:iCs/>
          <w:kern w:val="0"/>
          <w:sz w:val="24"/>
          <w:szCs w:val="24"/>
          <w14:ligatures w14:val="none"/>
        </w:rPr>
        <w:t xml:space="preserve"> </w:t>
      </w:r>
      <m:oMath>
        <m:sSub>
          <m:sSubPr>
            <m:ctrlPr>
              <w:rPr>
                <w:rFonts w:ascii="Cambria Math" w:eastAsia="Times New Roman" w:hAnsi="Cambria Math" w:cs="Times New Roman"/>
                <w:i/>
                <w:iCs/>
                <w:kern w:val="0"/>
                <w:sz w:val="24"/>
                <w:szCs w:val="24"/>
                <w14:ligatures w14:val="none"/>
              </w:rPr>
            </m:ctrlPr>
          </m:sSubPr>
          <m:e>
            <m:r>
              <w:rPr>
                <w:rFonts w:ascii="Cambria Math" w:eastAsia="Times New Roman" w:hAnsi="Cambria Math" w:cs="Times New Roman"/>
                <w:kern w:val="0"/>
                <w:sz w:val="24"/>
                <w:szCs w:val="24"/>
                <w14:ligatures w14:val="none"/>
              </w:rPr>
              <m:t>e</m:t>
            </m:r>
          </m:e>
          <m:sub>
            <m:r>
              <w:rPr>
                <w:rFonts w:ascii="Cambria Math" w:eastAsia="Times New Roman" w:hAnsi="Cambria Math" w:cs="Times New Roman"/>
                <w:kern w:val="0"/>
                <w:sz w:val="24"/>
                <w:szCs w:val="24"/>
                <w14:ligatures w14:val="none"/>
              </w:rPr>
              <m:t>t</m:t>
            </m:r>
          </m:sub>
        </m:sSub>
        <m:r>
          <w:rPr>
            <w:rFonts w:ascii="Cambria Math" w:eastAsia="Times New Roman" w:hAnsi="Cambria Math" w:cs="Times New Roman"/>
            <w:kern w:val="0"/>
            <w:sz w:val="24"/>
            <w:szCs w:val="24"/>
            <w14:ligatures w14:val="none"/>
          </w:rPr>
          <m:t>(τ)</m:t>
        </m:r>
      </m:oMath>
      <w:r w:rsidR="0050122D" w:rsidRPr="0050122D">
        <w:rPr>
          <w:rFonts w:ascii="Times New Roman" w:eastAsia="Times New Roman" w:hAnsi="Times New Roman" w:cs="Times New Roman"/>
          <w:iCs/>
          <w:kern w:val="0"/>
          <w:sz w:val="24"/>
          <w:szCs w:val="24"/>
          <w14:ligatures w14:val="none"/>
        </w:rPr>
        <w:t xml:space="preserve"> ……………………………………………...…………………………………...……….(11)</w:t>
      </w:r>
    </w:p>
    <w:p w14:paraId="66DA8BF3"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Calibri" w:hAnsi="Times New Roman" w:cs="Times New Roman"/>
          <w:kern w:val="0"/>
          <w:sz w:val="24"/>
          <w:szCs w:val="24"/>
          <w14:ligatures w14:val="none"/>
        </w:rPr>
        <w:t xml:space="preserve">Where: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iCs/>
          <w:kern w:val="0"/>
          <w:sz w:val="24"/>
          <w:szCs w:val="24"/>
          <w14:ligatures w14:val="none"/>
        </w:rPr>
        <w:t xml:space="preserve"> indicates the difference operator,</w:t>
      </w:r>
      <w:r w:rsidRPr="0050122D">
        <w:rPr>
          <w:rFonts w:ascii="Times New Roman" w:eastAsia="Times New Roman" w:hAnsi="Times New Roman" w:cs="Times New Roman"/>
          <w:i/>
          <w:iCs/>
          <w:kern w:val="0"/>
          <w:sz w:val="24"/>
          <w:szCs w:val="24"/>
          <w14:ligatures w14:val="none"/>
        </w:rPr>
        <w:t xml:space="preserve"> </w:t>
      </w:r>
      <m:oMath>
        <m:r>
          <w:rPr>
            <w:rFonts w:ascii="Cambria Math" w:eastAsia="Times New Roman"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 xml:space="preserve"> signifies the quantile distribution,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0</m:t>
            </m:r>
          </m:sub>
        </m:sSub>
      </m:oMath>
      <w:r w:rsidRPr="0050122D">
        <w:rPr>
          <w:rFonts w:ascii="Times New Roman" w:eastAsia="Times New Roman" w:hAnsi="Times New Roman" w:cs="Times New Roman"/>
          <w:kern w:val="0"/>
          <w:sz w:val="24"/>
          <w:szCs w:val="24"/>
          <w14:ligatures w14:val="none"/>
        </w:rPr>
        <w:t xml:space="preserve"> </w:t>
      </w:r>
      <w:r w:rsidRPr="0050122D">
        <w:rPr>
          <w:rFonts w:ascii="Times New Roman" w:eastAsia="Times New Roman" w:hAnsi="Times New Roman" w:cs="Times New Roman"/>
          <w:kern w:val="0"/>
          <w:sz w:val="24"/>
          <w:szCs w:val="24"/>
          <w:lang w:eastAsia="en-ZA"/>
          <w14:ligatures w14:val="none"/>
        </w:rPr>
        <w:t xml:space="preserve">mean the drift coefficient, </w:t>
      </w:r>
      <m:oMath>
        <m:r>
          <w:rPr>
            <w:rFonts w:ascii="Cambria Math" w:eastAsia="Times New Roman" w:hAnsi="Cambria Math" w:cs="Times New Roman"/>
            <w:kern w:val="0"/>
            <w:sz w:val="24"/>
            <w:szCs w:val="24"/>
            <w:lang w:eastAsia="en-ZA"/>
            <w14:ligatures w14:val="none"/>
          </w:rPr>
          <m:t>n1, n2 and n3</m:t>
        </m:r>
      </m:oMath>
      <w:r w:rsidRPr="0050122D">
        <w:rPr>
          <w:rFonts w:ascii="Times New Roman" w:eastAsia="Times New Roman" w:hAnsi="Times New Roman" w:cs="Times New Roman"/>
          <w:kern w:val="0"/>
          <w:sz w:val="24"/>
          <w:szCs w:val="24"/>
          <w:lang w:eastAsia="en-ZA"/>
          <w14:ligatures w14:val="none"/>
        </w:rPr>
        <w:t xml:space="preserve"> denote lag orders,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1</m:t>
            </m:r>
          </m:sub>
        </m:sSub>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2</m:t>
            </m:r>
          </m:sub>
        </m:sSub>
      </m:oMath>
      <w:r w:rsidRPr="0050122D">
        <w:rPr>
          <w:rFonts w:ascii="Times New Roman" w:eastAsia="Times New Roman" w:hAnsi="Times New Roman" w:cs="Times New Roman"/>
          <w:kern w:val="0"/>
          <w:sz w:val="24"/>
          <w:szCs w:val="24"/>
          <w14:ligatures w14:val="none"/>
        </w:rPr>
        <w:t xml:space="preserve">, and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b</m:t>
            </m:r>
          </m:e>
          <m:sub>
            <m:r>
              <w:rPr>
                <w:rFonts w:ascii="Cambria Math" w:eastAsia="Times New Roman" w:hAnsi="Cambria Math" w:cs="Times New Roman"/>
                <w:kern w:val="0"/>
                <w:sz w:val="24"/>
                <w:szCs w:val="24"/>
                <w14:ligatures w14:val="none"/>
              </w:rPr>
              <m:t>3</m:t>
            </m:r>
          </m:sub>
        </m:sSub>
      </m:oMath>
      <w:r w:rsidRPr="0050122D">
        <w:rPr>
          <w:rFonts w:ascii="Times New Roman" w:eastAsia="Times New Roman" w:hAnsi="Times New Roman" w:cs="Times New Roman"/>
          <w:kern w:val="0"/>
          <w:sz w:val="24"/>
          <w:szCs w:val="24"/>
          <w14:ligatures w14:val="none"/>
        </w:rPr>
        <w:t xml:space="preserve"> </w:t>
      </w:r>
      <w:r w:rsidRPr="0050122D">
        <w:rPr>
          <w:rFonts w:ascii="Times New Roman" w:eastAsia="Times New Roman" w:hAnsi="Times New Roman" w:cs="Times New Roman"/>
          <w:kern w:val="0"/>
          <w:sz w:val="24"/>
          <w:szCs w:val="24"/>
          <w:lang w:eastAsia="en-ZA"/>
          <w14:ligatures w14:val="none"/>
        </w:rPr>
        <w:t>indicate the short-run coefficients.</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Times New Roman" w:hAnsi="Times New Roman" w:cs="Times New Roman"/>
          <w:kern w:val="0"/>
          <w:sz w:val="24"/>
          <w:szCs w:val="24"/>
          <w:lang w:eastAsia="en-ZA"/>
          <w14:ligatures w14:val="none"/>
        </w:rPr>
        <w:t>The short-run dynamics are captured by the error correction mechanism, which adjusts for deviations from the long-run equilibrium.</w:t>
      </w:r>
    </w:p>
    <w:p w14:paraId="6937DC24" w14:textId="39D6BF0A" w:rsidR="0050122D" w:rsidRPr="0050122D" w:rsidRDefault="0050122D" w:rsidP="0050122D">
      <w:pPr>
        <w:keepNext/>
        <w:numPr>
          <w:ilvl w:val="2"/>
          <w:numId w:val="0"/>
        </w:numPr>
        <w:spacing w:before="120" w:after="0" w:line="360" w:lineRule="auto"/>
        <w:ind w:left="851" w:hanging="851"/>
        <w:jc w:val="both"/>
        <w:rPr>
          <w:rFonts w:ascii="Times New Roman" w:eastAsia="Calibri" w:hAnsi="Times New Roman" w:cs="Times New Roman"/>
          <w:b/>
          <w:bCs/>
          <w:kern w:val="0"/>
          <w:sz w:val="24"/>
          <w:szCs w:val="24"/>
          <w14:ligatures w14:val="none"/>
        </w:rPr>
      </w:pPr>
      <w:r w:rsidRPr="0050122D">
        <w:rPr>
          <w:rFonts w:ascii="Times New Roman" w:eastAsia="Times New Roman" w:hAnsi="Times New Roman" w:cs="Times New Roman"/>
          <w:b/>
          <w:bCs/>
          <w:kern w:val="0"/>
          <w:sz w:val="24"/>
          <w:szCs w:val="24"/>
          <w:lang w:eastAsia="en-ZA"/>
          <w14:ligatures w14:val="none"/>
        </w:rPr>
        <w:t>3.</w:t>
      </w:r>
      <w:bookmarkStart w:id="38" w:name="_Toc180249508"/>
      <w:bookmarkStart w:id="39" w:name="_Toc183161996"/>
      <w:r w:rsidR="002D3516">
        <w:rPr>
          <w:rFonts w:ascii="Times New Roman" w:eastAsia="Times New Roman" w:hAnsi="Times New Roman" w:cs="Times New Roman"/>
          <w:b/>
          <w:bCs/>
          <w:kern w:val="0"/>
          <w:sz w:val="24"/>
          <w:szCs w:val="24"/>
          <w:lang w:eastAsia="en-ZA"/>
          <w14:ligatures w14:val="none"/>
        </w:rPr>
        <w:t>7</w:t>
      </w:r>
      <w:r w:rsidRPr="0050122D">
        <w:rPr>
          <w:rFonts w:ascii="Times New Roman" w:eastAsia="Calibri" w:hAnsi="Times New Roman" w:cs="Times New Roman"/>
          <w:b/>
          <w:bCs/>
          <w:kern w:val="0"/>
          <w:sz w:val="24"/>
          <w:szCs w:val="24"/>
          <w14:ligatures w14:val="none"/>
        </w:rPr>
        <w:t xml:space="preserve"> Quantile process estimates</w:t>
      </w:r>
      <w:bookmarkEnd w:id="38"/>
      <w:bookmarkEnd w:id="39"/>
    </w:p>
    <w:p w14:paraId="1F053C61"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Calibri" w:hAnsi="Times New Roman" w:cs="Times New Roman"/>
          <w:kern w:val="0"/>
          <w:sz w:val="24"/>
          <w:szCs w:val="24"/>
          <w14:ligatures w14:val="none"/>
        </w:rPr>
        <w:t xml:space="preserve">This study estimated and visualized quantile process estimates to significantly enhance the depth of statistical analysis by providing a more comprehensive understanding of the relationships between variables. In essence, </w:t>
      </w:r>
      <w:bookmarkStart w:id="40" w:name="_Hlk177206312"/>
      <w:r w:rsidRPr="0050122D">
        <w:rPr>
          <w:rFonts w:ascii="Times New Roman" w:eastAsia="Calibri" w:hAnsi="Times New Roman" w:cs="Times New Roman"/>
          <w:kern w:val="0"/>
          <w:sz w:val="24"/>
          <w:szCs w:val="24"/>
          <w14:ligatures w14:val="none"/>
        </w:rPr>
        <w:t xml:space="preserve">quantile process estimates </w:t>
      </w:r>
      <w:bookmarkEnd w:id="40"/>
      <w:r w:rsidRPr="0050122D">
        <w:rPr>
          <w:rFonts w:ascii="Times New Roman" w:eastAsia="Calibri" w:hAnsi="Times New Roman" w:cs="Times New Roman"/>
          <w:kern w:val="0"/>
          <w:sz w:val="24"/>
          <w:szCs w:val="24"/>
          <w14:ligatures w14:val="none"/>
        </w:rPr>
        <w:t>are a valuable tool for conveying the complexity of the relationships being studied (Kim, 2007). In the quantile process estimates used in this study, the horizontal axis represents quantiles ranging from lower to upper quantiles. The vertical axis represents the estimated coefficients for each variable. The blue line represents the coefficient estimates at each quantile, while the orange lines represent the confidence intervals. In this study, for each subplot, the variation of the coefficients across quantiles reveals the impact of the explanatory variable on the response variable changes across the conditional distribution of the dependent variable.</w:t>
      </w:r>
      <w:r w:rsidRPr="0050122D">
        <w:rPr>
          <w:rFonts w:ascii="Times New Roman" w:eastAsia="Times New Roman" w:hAnsi="Times New Roman" w:cs="Times New Roman"/>
          <w:kern w:val="0"/>
          <w:sz w:val="24"/>
          <w:szCs w:val="24"/>
          <w14:ligatures w14:val="none"/>
        </w:rPr>
        <w:t xml:space="preserve"> </w:t>
      </w:r>
    </w:p>
    <w:p w14:paraId="26EA0CE9"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r w:rsidRPr="0050122D">
        <w:rPr>
          <w:rFonts w:ascii="Times New Roman" w:eastAsia="Calibri" w:hAnsi="Times New Roman" w:cs="Times New Roman"/>
          <w:kern w:val="0"/>
          <w:sz w:val="24"/>
          <w:szCs w:val="24"/>
          <w14:ligatures w14:val="none"/>
        </w:rPr>
        <w:t>Furthermore, the curve of the blue line shows the relationship between the independent variable and the dependent variable varies across the distribution. If the blue line slopes upward for higher quantiles, the variable has a stronger effect in the upper part of the distribution. On the other hand, the width of the confidence intervals provides insight into the precision of the estimates. Chernozhukov (2005) believes that the wider intervals suggest greater uncertainty in the coefficient estimates at specific quantiles.</w:t>
      </w:r>
    </w:p>
    <w:p w14:paraId="7BFE1EE8" w14:textId="05BA24AD" w:rsidR="0050122D" w:rsidRPr="0050122D" w:rsidRDefault="0050122D" w:rsidP="0050122D">
      <w:pPr>
        <w:keepNext/>
        <w:numPr>
          <w:ilvl w:val="2"/>
          <w:numId w:val="0"/>
        </w:numPr>
        <w:spacing w:before="120" w:after="0" w:line="360" w:lineRule="auto"/>
        <w:ind w:left="851" w:hanging="851"/>
        <w:jc w:val="both"/>
        <w:rPr>
          <w:rFonts w:ascii="Times New Roman" w:eastAsia="Calibri" w:hAnsi="Times New Roman" w:cs="Times New Roman"/>
          <w:b/>
          <w:bCs/>
          <w:kern w:val="0"/>
          <w:sz w:val="24"/>
          <w:szCs w:val="24"/>
          <w14:ligatures w14:val="none"/>
        </w:rPr>
      </w:pPr>
      <w:bookmarkStart w:id="41" w:name="_Toc183161997"/>
      <w:bookmarkStart w:id="42" w:name="_Toc180249509"/>
      <w:r w:rsidRPr="0050122D">
        <w:rPr>
          <w:rFonts w:ascii="Times New Roman" w:eastAsia="Calibri" w:hAnsi="Times New Roman" w:cs="Times New Roman"/>
          <w:b/>
          <w:bCs/>
          <w:kern w:val="0"/>
          <w:sz w:val="24"/>
          <w:szCs w:val="24"/>
          <w14:ligatures w14:val="none"/>
        </w:rPr>
        <w:t>3.</w:t>
      </w:r>
      <w:r w:rsidR="002D3516">
        <w:rPr>
          <w:rFonts w:ascii="Times New Roman" w:eastAsia="Calibri" w:hAnsi="Times New Roman" w:cs="Times New Roman"/>
          <w:b/>
          <w:bCs/>
          <w:kern w:val="0"/>
          <w:sz w:val="24"/>
          <w:szCs w:val="24"/>
          <w14:ligatures w14:val="none"/>
        </w:rPr>
        <w:t>8</w:t>
      </w:r>
      <w:r w:rsidRPr="0050122D">
        <w:rPr>
          <w:rFonts w:ascii="Times New Roman" w:eastAsia="Calibri" w:hAnsi="Times New Roman" w:cs="Times New Roman"/>
          <w:b/>
          <w:bCs/>
          <w:kern w:val="0"/>
          <w:sz w:val="24"/>
          <w:szCs w:val="24"/>
          <w14:ligatures w14:val="none"/>
        </w:rPr>
        <w:t xml:space="preserve"> Tests for equality of parameters across quantiles</w:t>
      </w:r>
      <w:bookmarkEnd w:id="41"/>
      <w:r w:rsidRPr="0050122D">
        <w:rPr>
          <w:rFonts w:ascii="Times New Roman" w:eastAsia="Calibri" w:hAnsi="Times New Roman" w:cs="Times New Roman"/>
          <w:b/>
          <w:bCs/>
          <w:kern w:val="0"/>
          <w:sz w:val="24"/>
          <w:szCs w:val="24"/>
          <w14:ligatures w14:val="none"/>
        </w:rPr>
        <w:t xml:space="preserve"> and stability of the model</w:t>
      </w:r>
    </w:p>
    <w:p w14:paraId="5EF4A96F"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0"/>
          <w:lang w:val="en-US"/>
          <w14:ligatures w14:val="none"/>
        </w:rPr>
      </w:pPr>
      <w:r w:rsidRPr="0050122D">
        <w:rPr>
          <w:rFonts w:ascii="Times New Roman" w:eastAsia="Times New Roman" w:hAnsi="Times New Roman" w:cs="Times New Roman"/>
          <w:kern w:val="0"/>
          <w:sz w:val="24"/>
          <w:szCs w:val="20"/>
          <w:lang w:val="en-US"/>
          <w14:ligatures w14:val="none"/>
        </w:rPr>
        <w:t>This section represents the estimation of the quantile slope equality test and the Wald test estimation.</w:t>
      </w:r>
    </w:p>
    <w:p w14:paraId="6B14EA9A" w14:textId="7CA419EC" w:rsidR="0050122D" w:rsidRPr="0050122D" w:rsidRDefault="0050122D" w:rsidP="0050122D">
      <w:pPr>
        <w:keepNext/>
        <w:numPr>
          <w:ilvl w:val="3"/>
          <w:numId w:val="0"/>
        </w:numPr>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bookmarkStart w:id="43" w:name="_Toc183161998"/>
      <w:r w:rsidRPr="0050122D">
        <w:rPr>
          <w:rFonts w:ascii="Times New Roman" w:eastAsia="Calibri" w:hAnsi="Times New Roman" w:cs="Times New Roman"/>
          <w:b/>
          <w:bCs/>
          <w:kern w:val="0"/>
          <w:sz w:val="24"/>
          <w:szCs w:val="24"/>
          <w:lang w:val="en-US" w:eastAsia="en-ZA"/>
          <w14:ligatures w14:val="none"/>
        </w:rPr>
        <w:t>3.</w:t>
      </w:r>
      <w:r w:rsidR="002D3516">
        <w:rPr>
          <w:rFonts w:ascii="Times New Roman" w:eastAsia="Calibri" w:hAnsi="Times New Roman" w:cs="Times New Roman"/>
          <w:b/>
          <w:bCs/>
          <w:kern w:val="0"/>
          <w:sz w:val="24"/>
          <w:szCs w:val="24"/>
          <w:lang w:val="en-US" w:eastAsia="en-ZA"/>
          <w14:ligatures w14:val="none"/>
        </w:rPr>
        <w:t>8</w:t>
      </w:r>
      <w:r w:rsidRPr="0050122D">
        <w:rPr>
          <w:rFonts w:ascii="Times New Roman" w:eastAsia="Calibri" w:hAnsi="Times New Roman" w:cs="Times New Roman"/>
          <w:b/>
          <w:bCs/>
          <w:kern w:val="0"/>
          <w:sz w:val="24"/>
          <w:szCs w:val="24"/>
          <w:lang w:val="en-US" w:eastAsia="en-ZA"/>
          <w14:ligatures w14:val="none"/>
        </w:rPr>
        <w:t>.1 Quantile slope equality</w:t>
      </w:r>
      <w:bookmarkEnd w:id="42"/>
      <w:bookmarkEnd w:id="43"/>
    </w:p>
    <w:p w14:paraId="1C7909A3"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r w:rsidRPr="0050122D">
        <w:rPr>
          <w:rFonts w:ascii="Times New Roman" w:eastAsia="Calibri" w:hAnsi="Times New Roman" w:cs="Times New Roman"/>
          <w:kern w:val="0"/>
          <w:sz w:val="24"/>
          <w:szCs w:val="24"/>
          <w14:ligatures w14:val="none"/>
        </w:rPr>
        <w:t>This study used</w:t>
      </w:r>
      <w:r w:rsidRPr="0050122D">
        <w:rPr>
          <w:rFonts w:ascii="Times New Roman" w:eastAsia="Times New Roman" w:hAnsi="Times New Roman" w:cs="Times New Roman"/>
          <w:kern w:val="0"/>
          <w:sz w:val="24"/>
          <w:szCs w:val="24"/>
          <w14:ligatures w14:val="none"/>
        </w:rPr>
        <w:t xml:space="preserve"> a </w:t>
      </w:r>
      <w:r w:rsidRPr="0050122D">
        <w:rPr>
          <w:rFonts w:ascii="Times New Roman" w:eastAsia="Calibri" w:hAnsi="Times New Roman" w:cs="Times New Roman"/>
          <w:kern w:val="0"/>
          <w:sz w:val="24"/>
          <w:szCs w:val="24"/>
          <w14:ligatures w14:val="none"/>
        </w:rPr>
        <w:t>quantile slope equality test to determine whether the coefficients (slopes) of the explanatory variables are statistically equal across different quantiles of the conditional distribution of the dependent variable.</w:t>
      </w:r>
      <w:r w:rsidRPr="0050122D">
        <w:rPr>
          <w:rFonts w:ascii="Times New Roman" w:eastAsia="Times New Roman" w:hAnsi="Times New Roman" w:cs="Times New Roman"/>
          <w:kern w:val="0"/>
          <w:sz w:val="24"/>
          <w:szCs w:val="24"/>
          <w14:ligatures w14:val="none"/>
        </w:rPr>
        <w:t xml:space="preserve"> The </w:t>
      </w:r>
      <w:r w:rsidRPr="0050122D">
        <w:rPr>
          <w:rFonts w:ascii="Times New Roman" w:eastAsia="Calibri" w:hAnsi="Times New Roman" w:cs="Times New Roman"/>
          <w:kern w:val="0"/>
          <w:sz w:val="24"/>
          <w:szCs w:val="24"/>
          <w14:ligatures w14:val="none"/>
        </w:rPr>
        <w:t xml:space="preserve">quantile slope equality test helps assess if a single regression coefficient can adequately describe the impact of explanatory variables on the explained variable for the entire distribution, or if the effects vary significantly across quantiles (Maiti, 2021). In this study, the quantile slope equality was employed for understanding whether the relationship between independent and dependent variables is consistent across the distribution. According to Bera </w:t>
      </w:r>
      <w:r w:rsidRPr="0050122D">
        <w:rPr>
          <w:rFonts w:ascii="Times New Roman" w:eastAsia="Calibri" w:hAnsi="Times New Roman" w:cs="Times New Roman"/>
          <w:i/>
          <w:iCs/>
          <w:kern w:val="0"/>
          <w:sz w:val="24"/>
          <w:szCs w:val="24"/>
          <w14:ligatures w14:val="none"/>
        </w:rPr>
        <w:t>et al.</w:t>
      </w:r>
      <w:r w:rsidRPr="0050122D">
        <w:rPr>
          <w:rFonts w:ascii="Times New Roman" w:eastAsia="Calibri" w:hAnsi="Times New Roman" w:cs="Times New Roman"/>
          <w:kern w:val="0"/>
          <w:sz w:val="24"/>
          <w:szCs w:val="24"/>
          <w14:ligatures w14:val="none"/>
        </w:rPr>
        <w:t xml:space="preserve"> (2013), the standard method to test</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Calibri" w:hAnsi="Times New Roman" w:cs="Times New Roman"/>
          <w:kern w:val="0"/>
          <w:sz w:val="24"/>
          <w:szCs w:val="24"/>
          <w14:ligatures w14:val="none"/>
        </w:rPr>
        <w:t>quantile slope equality involves conducting a Wald test; the test statistics are calculated as follows:</w:t>
      </w:r>
    </w:p>
    <w:p w14:paraId="6A737712"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m:oMath>
        <m:r>
          <w:rPr>
            <w:rFonts w:ascii="Cambria Math" w:eastAsia="Calibri" w:hAnsi="Cambria Math" w:cs="Times New Roman"/>
            <w:kern w:val="0"/>
            <w:sz w:val="24"/>
            <w:szCs w:val="24"/>
            <w14:ligatures w14:val="none"/>
          </w:rPr>
          <m:t>W</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1</m:t>
                </m:r>
              </m:sub>
            </m:sSub>
          </m:sub>
        </m:sSub>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w:bookmarkStart w:id="44" w:name="_Hlk177210881"/>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w:bookmarkEnd w:id="44"/>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2</m:t>
                </m:r>
              </m:sub>
            </m:sSub>
          </m:sub>
        </m:sSub>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m:t>
            </m:r>
          </m:sup>
        </m:s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(V(</m:t>
        </m:r>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1</m:t>
                </m:r>
              </m:sub>
            </m:sSub>
          </m:sub>
        </m:sSub>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V</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2</m:t>
                </m:r>
              </m:sub>
            </m:sSub>
          </m:sub>
        </m:sSub>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-1</m:t>
            </m:r>
          </m:sup>
        </m:s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1</m:t>
                </m:r>
              </m:sub>
            </m:sSub>
          </m:sub>
        </m:sSub>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2</m:t>
                </m:r>
              </m:sub>
            </m:sSub>
          </m:sub>
        </m:sSub>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………………………………………….(12)</w:t>
      </w:r>
    </w:p>
    <w:p w14:paraId="6AABEAF7"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Where </w:t>
      </w:r>
      <m:oMath>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1</m:t>
                </m:r>
              </m:sub>
            </m:sSub>
          </m:sub>
        </m:sSub>
        <m:r>
          <w:rPr>
            <w:rFonts w:ascii="Cambria Math" w:eastAsia="Times New Roman" w:hAnsi="Cambria Math" w:cs="Times New Roman"/>
            <w:kern w:val="0"/>
            <w:sz w:val="24"/>
            <w:szCs w:val="24"/>
            <w14:ligatures w14:val="none"/>
          </w:rPr>
          <m:t xml:space="preserve"> </m:t>
        </m:r>
        <m:r>
          <m:rPr>
            <m:sty m:val="p"/>
          </m:rPr>
          <w:rPr>
            <w:rFonts w:ascii="Cambria Math" w:eastAsia="Times New Roman" w:hAnsi="Cambria Math" w:cs="Times New Roman"/>
            <w:kern w:val="0"/>
            <w:sz w:val="24"/>
            <w:szCs w:val="24"/>
            <w14:ligatures w14:val="none"/>
          </w:rPr>
          <m:t xml:space="preserve">and </m:t>
        </m:r>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2</m:t>
                </m:r>
              </m:sub>
            </m:sSub>
          </m:sub>
        </m:sSub>
      </m:oMath>
      <w:r w:rsidRPr="0050122D">
        <w:rPr>
          <w:rFonts w:ascii="Times New Roman" w:eastAsia="Times New Roman" w:hAnsi="Times New Roman" w:cs="Times New Roman"/>
          <w:kern w:val="0"/>
          <w:sz w:val="24"/>
          <w:szCs w:val="24"/>
          <w14:ligatures w14:val="none"/>
        </w:rPr>
        <w:t xml:space="preserve"> are the estimated quantile coefficients at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1</m:t>
            </m:r>
          </m:sub>
        </m:sSub>
      </m:oMath>
      <w:r w:rsidRPr="0050122D">
        <w:rPr>
          <w:rFonts w:ascii="Times New Roman" w:eastAsia="Times New Roman" w:hAnsi="Times New Roman" w:cs="Times New Roman"/>
          <w:kern w:val="0"/>
          <w:sz w:val="24"/>
          <w:szCs w:val="24"/>
          <w14:ligatures w14:val="none"/>
        </w:rPr>
        <w:t xml:space="preserve"> and </w:t>
      </w:r>
      <m:oMath>
        <m:sSub>
          <m:sSubPr>
            <m:ctrlPr>
              <w:rPr>
                <w:rFonts w:ascii="Cambria Math" w:eastAsia="Times New Roman" w:hAnsi="Cambria Math" w:cs="Times New Roman"/>
                <w:i/>
                <w:kern w:val="0"/>
                <w:sz w:val="24"/>
                <w:szCs w:val="24"/>
                <w14:ligatures w14:val="none"/>
              </w:rPr>
            </m:ctrlPr>
          </m:sSubPr>
          <m:e>
            <m:r>
              <w:rPr>
                <w:rFonts w:ascii="Cambria Math" w:eastAsia="Times New Roman" w:hAnsi="Cambria Math" w:cs="Times New Roman"/>
                <w:kern w:val="0"/>
                <w:sz w:val="24"/>
                <w:szCs w:val="24"/>
                <w14:ligatures w14:val="none"/>
              </w:rPr>
              <m:t>τ</m:t>
            </m:r>
          </m:e>
          <m:sub>
            <m:r>
              <w:rPr>
                <w:rFonts w:ascii="Cambria Math" w:eastAsia="Times New Roman" w:hAnsi="Cambria Math" w:cs="Times New Roman"/>
                <w:kern w:val="0"/>
                <w:sz w:val="24"/>
                <w:szCs w:val="24"/>
                <w14:ligatures w14:val="none"/>
              </w:rPr>
              <m:t>2</m:t>
            </m:r>
          </m:sub>
        </m:sSub>
      </m:oMath>
      <w:r w:rsidRPr="0050122D">
        <w:rPr>
          <w:rFonts w:ascii="Times New Roman" w:eastAsia="Times New Roman" w:hAnsi="Times New Roman" w:cs="Times New Roman"/>
          <w:kern w:val="0"/>
          <w:sz w:val="24"/>
          <w:szCs w:val="24"/>
          <w14:ligatures w14:val="none"/>
        </w:rPr>
        <w:t>, V (</w:t>
      </w:r>
      <m:oMath>
        <m:sSub>
          <m:sSubPr>
            <m:ctrlPr>
              <w:rPr>
                <w:rFonts w:ascii="Cambria Math" w:eastAsia="Times New Roman" w:hAnsi="Cambria Math" w:cs="Times New Roman"/>
                <w:i/>
                <w:kern w:val="0"/>
                <w:sz w:val="24"/>
                <w:szCs w:val="24"/>
                <w14:ligatures w14:val="none"/>
              </w:rPr>
            </m:ctrlPr>
          </m:sSubPr>
          <m:e>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e>
          <m:sub>
            <m:r>
              <w:rPr>
                <w:rFonts w:ascii="Cambria Math" w:eastAsia="Times New Roman" w:hAnsi="Cambria Math" w:cs="Times New Roman"/>
                <w:kern w:val="0"/>
                <w:sz w:val="24"/>
                <w:szCs w:val="24"/>
                <w14:ligatures w14:val="none"/>
              </w:rPr>
              <m:t>τ</m:t>
            </m:r>
          </m:sub>
        </m:sSub>
      </m:oMath>
      <w:r w:rsidRPr="0050122D">
        <w:rPr>
          <w:rFonts w:ascii="Times New Roman" w:eastAsia="Times New Roman" w:hAnsi="Times New Roman" w:cs="Times New Roman"/>
          <w:kern w:val="0"/>
          <w:sz w:val="24"/>
          <w:szCs w:val="24"/>
          <w14:ligatures w14:val="none"/>
        </w:rPr>
        <w:t xml:space="preserve">) is the variance-covariance matrix of the quantile regression estimate </w:t>
      </w:r>
      <m:oMath>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oMath>
      <w:r w:rsidRPr="0050122D">
        <w:rPr>
          <w:rFonts w:ascii="Times New Roman" w:eastAsia="Times New Roman" w:hAnsi="Times New Roman" w:cs="Times New Roman"/>
          <w:kern w:val="0"/>
          <w:sz w:val="24"/>
          <w:szCs w:val="24"/>
          <w14:ligatures w14:val="none"/>
        </w:rPr>
        <w:t xml:space="preserve"> at quantile </w:t>
      </w:r>
      <m:oMath>
        <m:r>
          <w:rPr>
            <w:rFonts w:ascii="Cambria Math" w:eastAsia="Times New Roman" w:hAnsi="Cambria Math" w:cs="Times New Roman"/>
            <w:kern w:val="0"/>
            <w:sz w:val="24"/>
            <w:szCs w:val="24"/>
            <w14:ligatures w14:val="none"/>
          </w:rPr>
          <m:t>τ</m:t>
        </m:r>
      </m:oMath>
      <w:r w:rsidRPr="0050122D">
        <w:rPr>
          <w:rFonts w:ascii="Times New Roman" w:eastAsia="Times New Roman" w:hAnsi="Times New Roman" w:cs="Times New Roman"/>
          <w:kern w:val="0"/>
          <w:sz w:val="24"/>
          <w:szCs w:val="24"/>
          <w14:ligatures w14:val="none"/>
        </w:rPr>
        <w:t xml:space="preserve">. The decision rule is that if the p-value is less than a 5% level of significance, this suggests the rejection of the null hypothesis that the slope coefficients are equal across quantiles. </w:t>
      </w:r>
    </w:p>
    <w:p w14:paraId="6062087B" w14:textId="54786BF3" w:rsidR="0050122D" w:rsidRPr="0050122D" w:rsidRDefault="0050122D" w:rsidP="0050122D">
      <w:pPr>
        <w:keepNext/>
        <w:numPr>
          <w:ilvl w:val="3"/>
          <w:numId w:val="0"/>
        </w:numPr>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r w:rsidRPr="0050122D">
        <w:rPr>
          <w:rFonts w:ascii="Times New Roman" w:eastAsia="Calibri" w:hAnsi="Times New Roman" w:cs="Times New Roman"/>
          <w:b/>
          <w:bCs/>
          <w:kern w:val="0"/>
          <w:sz w:val="24"/>
          <w:szCs w:val="24"/>
          <w:lang w:val="en-US" w:eastAsia="en-ZA"/>
          <w14:ligatures w14:val="none"/>
        </w:rPr>
        <w:t>3.</w:t>
      </w:r>
      <w:r w:rsidR="002D3516">
        <w:rPr>
          <w:rFonts w:ascii="Times New Roman" w:eastAsia="Calibri" w:hAnsi="Times New Roman" w:cs="Times New Roman"/>
          <w:b/>
          <w:bCs/>
          <w:kern w:val="0"/>
          <w:sz w:val="24"/>
          <w:szCs w:val="24"/>
          <w:lang w:val="en-US" w:eastAsia="en-ZA"/>
          <w14:ligatures w14:val="none"/>
        </w:rPr>
        <w:t>8</w:t>
      </w:r>
      <w:r w:rsidRPr="0050122D">
        <w:rPr>
          <w:rFonts w:ascii="Times New Roman" w:eastAsia="Calibri" w:hAnsi="Times New Roman" w:cs="Times New Roman"/>
          <w:b/>
          <w:bCs/>
          <w:kern w:val="0"/>
          <w:sz w:val="24"/>
          <w:szCs w:val="24"/>
          <w:lang w:val="en-US" w:eastAsia="en-ZA"/>
          <w14:ligatures w14:val="none"/>
        </w:rPr>
        <w:t xml:space="preserve">.2 Wald test estimation </w:t>
      </w:r>
    </w:p>
    <w:p w14:paraId="2BEC2F1A"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The Wald test in this study is estimated to allow testing of specific hypotheses about the quantile regression coefficients (Xiao, 2009). That might be tested if the effect of a particular variable is zero at a given quantile, or if a set of coefficients is jointly zero. This study conducted a Wald test to understand the significance and impact of variables on different parts of the outcome distribution (Choi </w:t>
      </w:r>
      <w:r w:rsidRPr="0050122D">
        <w:rPr>
          <w:rFonts w:ascii="Times New Roman" w:eastAsia="Calibri" w:hAnsi="Times New Roman" w:cs="Times New Roman"/>
          <w:i/>
          <w:iCs/>
          <w:kern w:val="0"/>
          <w:sz w:val="24"/>
          <w:szCs w:val="24"/>
          <w14:ligatures w14:val="none"/>
        </w:rPr>
        <w:t>et al.,</w:t>
      </w:r>
      <w:r w:rsidRPr="0050122D">
        <w:rPr>
          <w:rFonts w:ascii="Times New Roman" w:eastAsia="Times New Roman" w:hAnsi="Times New Roman" w:cs="Times New Roman"/>
          <w:kern w:val="0"/>
          <w:sz w:val="24"/>
          <w:szCs w:val="24"/>
          <w14:ligatures w14:val="none"/>
        </w:rPr>
        <w:t xml:space="preserve"> 2005). To perform a Wald test on a quantile regression, where the null hypothesis is that certain coefficients are equal to zero, the Wald test statistics takes the following formulation: </w:t>
      </w:r>
    </w:p>
    <w:p w14:paraId="1ED7B8D0"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m:oMath>
        <m:r>
          <w:rPr>
            <w:rFonts w:ascii="Cambria Math" w:eastAsia="Calibri" w:hAnsi="Cambria Math" w:cs="Times New Roman"/>
            <w:kern w:val="0"/>
            <w:sz w:val="24"/>
            <w:szCs w:val="24"/>
            <w14:ligatures w14:val="none"/>
          </w:rPr>
          <m:t>W</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(C</m:t>
        </m:r>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m:t>
            </m:r>
          </m:sup>
        </m:s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(C</m:t>
        </m:r>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V</m:t>
            </m:r>
          </m:e>
        </m:acc>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C</m:t>
            </m:r>
          </m:e>
          <m:sup>
            <m:r>
              <w:rPr>
                <w:rFonts w:ascii="Cambria Math" w:eastAsia="Times New Roman" w:hAnsi="Cambria Math" w:cs="Times New Roman"/>
                <w:kern w:val="0"/>
                <w:sz w:val="24"/>
                <w:szCs w:val="24"/>
                <w14:ligatures w14:val="none"/>
              </w:rPr>
              <m:t>'</m:t>
            </m:r>
          </m:sup>
        </m:sSup>
        <m:sSup>
          <m:sSupPr>
            <m:ctrlPr>
              <w:rPr>
                <w:rFonts w:ascii="Cambria Math" w:eastAsia="Times New Roman" w:hAnsi="Cambria Math" w:cs="Times New Roman"/>
                <w:i/>
                <w:kern w:val="0"/>
                <w:sz w:val="24"/>
                <w:szCs w:val="24"/>
                <w14:ligatures w14:val="none"/>
              </w:rPr>
            </m:ctrlPr>
          </m:sSupPr>
          <m:e>
            <m:r>
              <w:rPr>
                <w:rFonts w:ascii="Cambria Math" w:eastAsia="Times New Roman" w:hAnsi="Cambria Math" w:cs="Times New Roman"/>
                <w:kern w:val="0"/>
                <w:sz w:val="24"/>
                <w:szCs w:val="24"/>
                <w14:ligatures w14:val="none"/>
              </w:rPr>
              <m:t>)</m:t>
            </m:r>
          </m:e>
          <m:sup>
            <m:r>
              <w:rPr>
                <w:rFonts w:ascii="Cambria Math" w:eastAsia="Times New Roman" w:hAnsi="Cambria Math" w:cs="Times New Roman"/>
                <w:kern w:val="0"/>
                <w:sz w:val="24"/>
                <w:szCs w:val="24"/>
                <w14:ligatures w14:val="none"/>
              </w:rPr>
              <m:t>-1</m:t>
            </m:r>
          </m:sup>
        </m:sSup>
      </m:oMath>
      <w:r w:rsidRPr="0050122D">
        <w:rPr>
          <w:rFonts w:ascii="Times New Roman" w:eastAsia="Times New Roman" w:hAnsi="Times New Roman" w:cs="Times New Roman"/>
          <w:kern w:val="0"/>
          <w:sz w:val="24"/>
          <w:szCs w:val="24"/>
          <w14:ligatures w14:val="none"/>
        </w:rPr>
        <w:t xml:space="preserve"> </w:t>
      </w:r>
      <m:oMath>
        <m:r>
          <w:rPr>
            <w:rFonts w:ascii="Cambria Math" w:eastAsia="Times New Roman" w:hAnsi="Cambria Math" w:cs="Times New Roman"/>
            <w:kern w:val="0"/>
            <w:sz w:val="24"/>
            <w:szCs w:val="24"/>
            <w14:ligatures w14:val="none"/>
          </w:rPr>
          <m:t>(C</m:t>
        </m:r>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r>
          <w:rPr>
            <w:rFonts w:ascii="Cambria Math" w:eastAsia="Times New Roman" w:hAnsi="Cambria Math" w:cs="Times New Roman"/>
            <w:kern w:val="0"/>
            <w:sz w:val="24"/>
            <w:szCs w:val="24"/>
            <w14:ligatures w14:val="none"/>
          </w:rPr>
          <m:t>)</m:t>
        </m:r>
      </m:oMath>
      <w:r w:rsidRPr="0050122D">
        <w:rPr>
          <w:rFonts w:ascii="Times New Roman" w:eastAsia="Times New Roman" w:hAnsi="Times New Roman" w:cs="Times New Roman"/>
          <w:kern w:val="0"/>
          <w:sz w:val="24"/>
          <w:szCs w:val="24"/>
          <w14:ligatures w14:val="none"/>
        </w:rPr>
        <w:t xml:space="preserve"> …………………………………..………………..………….…(13) </w:t>
      </w:r>
    </w:p>
    <w:p w14:paraId="54D9B829" w14:textId="77777777" w:rsidR="0050122D" w:rsidRPr="0050122D" w:rsidRDefault="0050122D" w:rsidP="0050122D">
      <w:pPr>
        <w:spacing w:after="240" w:line="360" w:lineRule="auto"/>
        <w:jc w:val="both"/>
        <w:rPr>
          <w:rFonts w:ascii="Times New Roman" w:eastAsia="Calibri" w:hAnsi="Times New Roman" w:cs="Times New Roman"/>
          <w:kern w:val="0"/>
          <w:sz w:val="24"/>
          <w:szCs w:val="24"/>
          <w14:ligatures w14:val="none"/>
        </w:rPr>
      </w:pPr>
      <w:r w:rsidRPr="0050122D">
        <w:rPr>
          <w:rFonts w:ascii="Times New Roman" w:eastAsia="Calibri" w:hAnsi="Times New Roman" w:cs="Times New Roman"/>
          <w:kern w:val="0"/>
          <w:sz w:val="24"/>
          <w:szCs w:val="24"/>
          <w14:ligatures w14:val="none"/>
        </w:rPr>
        <w:t xml:space="preserve">Where </w:t>
      </w:r>
      <m:oMath>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β</m:t>
            </m:r>
          </m:e>
        </m:acc>
      </m:oMath>
      <w:r w:rsidRPr="0050122D">
        <w:rPr>
          <w:rFonts w:ascii="Times New Roman" w:eastAsia="Times New Roman" w:hAnsi="Times New Roman" w:cs="Times New Roman"/>
          <w:kern w:val="0"/>
          <w:sz w:val="24"/>
          <w:szCs w:val="24"/>
          <w14:ligatures w14:val="none"/>
        </w:rPr>
        <w:t xml:space="preserve"> is the vector of estimated coefficients, </w:t>
      </w:r>
      <m:oMath>
        <m:acc>
          <m:accPr>
            <m:ctrlPr>
              <w:rPr>
                <w:rFonts w:ascii="Cambria Math" w:eastAsia="Times New Roman" w:hAnsi="Cambria Math" w:cs="Times New Roman"/>
                <w:i/>
                <w:kern w:val="0"/>
                <w:sz w:val="24"/>
                <w:szCs w:val="24"/>
                <w14:ligatures w14:val="none"/>
              </w:rPr>
            </m:ctrlPr>
          </m:accPr>
          <m:e>
            <m:r>
              <w:rPr>
                <w:rFonts w:ascii="Cambria Math" w:eastAsia="Times New Roman" w:hAnsi="Cambria Math" w:cs="Times New Roman"/>
                <w:kern w:val="0"/>
                <w:sz w:val="24"/>
                <w:szCs w:val="24"/>
                <w14:ligatures w14:val="none"/>
              </w:rPr>
              <m:t>V</m:t>
            </m:r>
          </m:e>
        </m:acc>
      </m:oMath>
      <w:r w:rsidRPr="0050122D">
        <w:rPr>
          <w:rFonts w:ascii="Times New Roman" w:eastAsia="Times New Roman" w:hAnsi="Times New Roman" w:cs="Times New Roman"/>
          <w:kern w:val="0"/>
          <w:sz w:val="24"/>
          <w:szCs w:val="24"/>
          <w14:ligatures w14:val="none"/>
        </w:rPr>
        <w:t xml:space="preserve"> is the covariance matrix of the estimated coefficients, C is the matrix specifying the constraints. The null hypothesis is that the coefficients are jointly zero. The decision rule is that if the p-value is less than 1% or 5% significant level,</w:t>
      </w:r>
      <w:r w:rsidRPr="0050122D">
        <w:rPr>
          <w:rFonts w:ascii="Times New Roman" w:eastAsia="Aptos" w:hAnsi="Times New Roman" w:cs="Times New Roman"/>
          <w:sz w:val="24"/>
          <w:szCs w:val="24"/>
        </w:rPr>
        <w:t xml:space="preserve"> this suggests that the coefficients are significant in explaining the dependent variable in the model.</w:t>
      </w:r>
    </w:p>
    <w:p w14:paraId="3F7AEA5D" w14:textId="5CB94F20" w:rsidR="0050122D" w:rsidRPr="0050122D" w:rsidRDefault="0050122D" w:rsidP="0050122D">
      <w:pPr>
        <w:keepNext/>
        <w:numPr>
          <w:ilvl w:val="2"/>
          <w:numId w:val="0"/>
        </w:numPr>
        <w:spacing w:before="120" w:after="0" w:line="360" w:lineRule="auto"/>
        <w:ind w:left="851" w:hanging="851"/>
        <w:jc w:val="both"/>
        <w:rPr>
          <w:rFonts w:ascii="Times New Roman" w:eastAsia="Calibri" w:hAnsi="Times New Roman" w:cs="Times New Roman"/>
          <w:b/>
          <w:bCs/>
          <w:kern w:val="0"/>
          <w:sz w:val="24"/>
          <w:szCs w:val="24"/>
          <w14:ligatures w14:val="none"/>
        </w:rPr>
      </w:pPr>
      <w:bookmarkStart w:id="45" w:name="_Toc180249495"/>
      <w:bookmarkStart w:id="46" w:name="_Toc183161969"/>
      <w:r w:rsidRPr="0050122D">
        <w:rPr>
          <w:rFonts w:ascii="Times New Roman" w:eastAsia="Calibri" w:hAnsi="Times New Roman" w:cs="Times New Roman"/>
          <w:b/>
          <w:bCs/>
          <w:kern w:val="0"/>
          <w:sz w:val="24"/>
          <w:szCs w:val="24"/>
          <w14:ligatures w14:val="none"/>
        </w:rPr>
        <w:t>3.</w:t>
      </w:r>
      <w:r w:rsidR="002D3516">
        <w:rPr>
          <w:rFonts w:ascii="Times New Roman" w:eastAsia="Calibri" w:hAnsi="Times New Roman" w:cs="Times New Roman"/>
          <w:b/>
          <w:bCs/>
          <w:kern w:val="0"/>
          <w:sz w:val="24"/>
          <w:szCs w:val="24"/>
          <w14:ligatures w14:val="none"/>
        </w:rPr>
        <w:t>8</w:t>
      </w:r>
      <w:r w:rsidRPr="0050122D">
        <w:rPr>
          <w:rFonts w:ascii="Times New Roman" w:eastAsia="Calibri" w:hAnsi="Times New Roman" w:cs="Times New Roman"/>
          <w:b/>
          <w:bCs/>
          <w:kern w:val="0"/>
          <w:sz w:val="24"/>
          <w:szCs w:val="24"/>
          <w14:ligatures w14:val="none"/>
        </w:rPr>
        <w:t>.3 Stability diagnostic test</w:t>
      </w:r>
      <w:bookmarkEnd w:id="45"/>
      <w:bookmarkEnd w:id="46"/>
    </w:p>
    <w:p w14:paraId="697DDA15" w14:textId="77777777" w:rsidR="0050122D" w:rsidRPr="0050122D" w:rsidRDefault="0050122D" w:rsidP="0050122D">
      <w:pPr>
        <w:spacing w:after="240" w:line="360" w:lineRule="auto"/>
        <w:jc w:val="both"/>
        <w:rPr>
          <w:rFonts w:ascii="Times New Roman" w:eastAsia="Calibri" w:hAnsi="Times New Roman" w:cs="Times New Roman"/>
          <w:kern w:val="0"/>
          <w:sz w:val="24"/>
          <w14:ligatures w14:val="none"/>
        </w:rPr>
      </w:pPr>
      <w:r w:rsidRPr="0050122D">
        <w:rPr>
          <w:rFonts w:ascii="Times New Roman" w:eastAsia="Calibri" w:hAnsi="Times New Roman" w:cs="Times New Roman"/>
          <w:kern w:val="0"/>
          <w:sz w:val="24"/>
          <w14:ligatures w14:val="none"/>
        </w:rPr>
        <w:t xml:space="preserve">Stability diagnostic tests are performed to confirm that the model maintains the assumptions of classical regression analysis and does not violate any fundamental conditions, which is a misspecification of error. To test whether an independent variable is stable at a 5% significance level or not, this study employed the cumulative sum (CUSUM) test and cumulative sum of squares (CUSUMQ) test (Brown </w:t>
      </w:r>
      <w:r w:rsidRPr="0050122D">
        <w:rPr>
          <w:rFonts w:ascii="Times New Roman" w:eastAsia="Calibri" w:hAnsi="Times New Roman" w:cs="Times New Roman"/>
          <w:i/>
          <w:iCs/>
          <w:kern w:val="0"/>
          <w:sz w:val="24"/>
          <w14:ligatures w14:val="none"/>
        </w:rPr>
        <w:t>et al,</w:t>
      </w:r>
      <w:r w:rsidRPr="0050122D">
        <w:rPr>
          <w:rFonts w:ascii="Times New Roman" w:eastAsia="Calibri" w:hAnsi="Times New Roman" w:cs="Times New Roman"/>
          <w:kern w:val="0"/>
          <w:sz w:val="24"/>
          <w14:ligatures w14:val="none"/>
        </w:rPr>
        <w:t xml:space="preserve"> 1975). These tests checked the null hypothesis which posits that the model parameters have characteristics of stability, while the alternative hypothesis suggests that the parameters exhibit instability. The test is shown by means of a graph, where a CUSUM line is tested against two lines of 5% significance level. If the CUSUM curve crosses either of the two 5% critical thresholds, the null hypothesis is not accepted, indicating that the model exhibits instability (Dao, 2021). Hence, the model represents features of stability where the CUSUM line lies in between the two lines of a 5% significance level. </w:t>
      </w:r>
    </w:p>
    <w:p w14:paraId="1C2451D7" w14:textId="77777777" w:rsidR="0050122D" w:rsidRPr="0050122D" w:rsidRDefault="0050122D" w:rsidP="0050122D">
      <w:pPr>
        <w:spacing w:line="360" w:lineRule="auto"/>
        <w:jc w:val="both"/>
        <w:rPr>
          <w:rFonts w:ascii="Times New Roman" w:eastAsia="Calibri" w:hAnsi="Times New Roman" w:cs="Times New Roman"/>
          <w:b/>
          <w:kern w:val="0"/>
          <w:sz w:val="24"/>
          <w:szCs w:val="24"/>
          <w14:ligatures w14:val="none"/>
        </w:rPr>
      </w:pPr>
      <w:r w:rsidRPr="0050122D">
        <w:rPr>
          <w:rFonts w:ascii="Times New Roman" w:eastAsia="Calibri" w:hAnsi="Times New Roman" w:cs="Times New Roman"/>
          <w:b/>
          <w:bCs/>
          <w:iCs/>
          <w:kern w:val="0"/>
          <w:sz w:val="24"/>
          <w:szCs w:val="24"/>
          <w14:ligatures w14:val="none"/>
        </w:rPr>
        <w:t xml:space="preserve">4. </w:t>
      </w:r>
      <w:r w:rsidRPr="0050122D">
        <w:rPr>
          <w:rFonts w:ascii="Times New Roman" w:eastAsia="Calibri" w:hAnsi="Times New Roman" w:cs="Times New Roman"/>
          <w:b/>
          <w:kern w:val="0"/>
          <w:sz w:val="24"/>
          <w:szCs w:val="24"/>
          <w14:ligatures w14:val="none"/>
        </w:rPr>
        <w:t>Empirical results</w:t>
      </w:r>
    </w:p>
    <w:p w14:paraId="38646266" w14:textId="77777777" w:rsidR="0050122D" w:rsidRPr="0050122D" w:rsidRDefault="0050122D" w:rsidP="0050122D">
      <w:pPr>
        <w:keepNext/>
        <w:spacing w:before="120" w:after="0" w:line="360" w:lineRule="auto"/>
        <w:ind w:left="851" w:hanging="851"/>
        <w:jc w:val="both"/>
        <w:rPr>
          <w:rFonts w:ascii="Times New Roman" w:eastAsia="Calibri" w:hAnsi="Times New Roman" w:cs="Times New Roman"/>
          <w:b/>
          <w:bCs/>
          <w:kern w:val="0"/>
          <w:sz w:val="24"/>
          <w:szCs w:val="24"/>
          <w14:ligatures w14:val="none"/>
        </w:rPr>
      </w:pPr>
      <w:bookmarkStart w:id="47" w:name="_Toc180249543"/>
      <w:bookmarkStart w:id="48" w:name="_Hlk174700344"/>
      <w:bookmarkStart w:id="49" w:name="_Toc183162043"/>
      <w:r w:rsidRPr="0050122D">
        <w:rPr>
          <w:rFonts w:ascii="Times New Roman" w:eastAsia="Calibri" w:hAnsi="Times New Roman" w:cs="Times New Roman"/>
          <w:b/>
          <w:bCs/>
          <w:kern w:val="0"/>
          <w:sz w:val="24"/>
          <w:szCs w:val="24"/>
          <w14:ligatures w14:val="none"/>
        </w:rPr>
        <w:t>4.1</w:t>
      </w:r>
      <w:bookmarkEnd w:id="47"/>
      <w:bookmarkEnd w:id="48"/>
      <w:bookmarkEnd w:id="49"/>
      <w:r w:rsidRPr="0050122D">
        <w:rPr>
          <w:rFonts w:ascii="Times New Roman" w:eastAsia="Calibri" w:hAnsi="Times New Roman" w:cs="Times New Roman"/>
          <w:b/>
          <w:bCs/>
          <w:kern w:val="0"/>
          <w:sz w:val="24"/>
          <w:szCs w:val="24"/>
          <w14:ligatures w14:val="none"/>
        </w:rPr>
        <w:t xml:space="preserve"> Multivariate normality test</w:t>
      </w:r>
    </w:p>
    <w:p w14:paraId="7E1FACDB"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0"/>
          <w14:ligatures w14:val="none"/>
        </w:rPr>
      </w:pPr>
      <w:bookmarkStart w:id="50" w:name="_Toc180249539"/>
      <w:bookmarkStart w:id="51" w:name="_Toc183627177"/>
      <w:r w:rsidRPr="0050122D">
        <w:rPr>
          <w:rFonts w:ascii="Times New Roman" w:eastAsia="Times New Roman" w:hAnsi="Times New Roman" w:cs="Times New Roman"/>
          <w:kern w:val="0"/>
          <w:sz w:val="24"/>
          <w:szCs w:val="20"/>
          <w14:ligatures w14:val="none"/>
        </w:rPr>
        <w:t xml:space="preserve">This study finds it critical to estimate the normality test to determine the nature of the variables under review in this study, such as </w:t>
      </w:r>
      <w:bookmarkStart w:id="52" w:name="_Hlk176609855"/>
      <w:r w:rsidRPr="0050122D">
        <w:rPr>
          <w:rFonts w:ascii="Times New Roman" w:eastAsia="Times New Roman" w:hAnsi="Times New Roman" w:cs="Times New Roman"/>
          <w:kern w:val="0"/>
          <w:sz w:val="24"/>
          <w:szCs w:val="20"/>
          <w14:ligatures w14:val="none"/>
        </w:rPr>
        <w:t xml:space="preserve">household consumption, pay as you earn tax , household disposable income, and unemployment, </w:t>
      </w:r>
      <w:bookmarkEnd w:id="52"/>
      <w:r w:rsidRPr="0050122D">
        <w:rPr>
          <w:rFonts w:ascii="Times New Roman" w:eastAsia="Times New Roman" w:hAnsi="Times New Roman" w:cs="Times New Roman"/>
          <w:kern w:val="0"/>
          <w:sz w:val="24"/>
          <w:szCs w:val="20"/>
          <w14:ligatures w14:val="none"/>
        </w:rPr>
        <w:t>before engaging in the QARDL model. The multivariate normality test is used in this study, since it has different normality tests as discussed in the previous chapter. The results are presented in Table 1.</w:t>
      </w:r>
    </w:p>
    <w:p w14:paraId="20374A8B" w14:textId="77777777" w:rsidR="0050122D" w:rsidRPr="0050122D" w:rsidRDefault="0050122D" w:rsidP="0050122D">
      <w:pPr>
        <w:spacing w:after="240" w:line="360" w:lineRule="auto"/>
        <w:jc w:val="both"/>
        <w:rPr>
          <w:rFonts w:ascii="Times New Roman" w:eastAsia="Aptos" w:hAnsi="Times New Roman" w:cs="Times New Roman"/>
          <w:sz w:val="24"/>
        </w:rPr>
      </w:pPr>
      <w:r w:rsidRPr="0050122D">
        <w:rPr>
          <w:rFonts w:ascii="Times New Roman" w:eastAsia="Times New Roman" w:hAnsi="Times New Roman" w:cs="Times New Roman"/>
          <w:kern w:val="0"/>
          <w:sz w:val="24"/>
          <w:szCs w:val="20"/>
          <w14:ligatures w14:val="none"/>
        </w:rPr>
        <w:t xml:space="preserve">The Shapiro-Wilk multivariate normality test found that the series is not normally distributed, since the p-value is 0%, less than the 1% level of significance, as demonstrated in Table 1. These results concur with those of the Henze-Zirkler normality test in Table 1, with a p-value of 9.26%, which is less than the 10% significance level. It is clear in Table 1 that Mardia's Skewness normality test revealed that the variables are not normally distributed, since the p-value is equal to 0.44% and less than the 1% level of significance, in line with the adjusted Mardia's Skewness with a p-value of </w:t>
      </w:r>
      <w:r w:rsidRPr="0050122D">
        <w:rPr>
          <w:rFonts w:ascii="Times New Roman" w:eastAsia="Aptos" w:hAnsi="Times New Roman" w:cs="Times New Roman"/>
          <w:sz w:val="24"/>
        </w:rPr>
        <w:t>0.03%, less than the 1% significance level.</w:t>
      </w:r>
    </w:p>
    <w:p w14:paraId="04336914" w14:textId="77777777" w:rsidR="0050122D" w:rsidRPr="0050122D" w:rsidRDefault="0050122D" w:rsidP="0050122D">
      <w:pPr>
        <w:spacing w:after="240" w:line="360" w:lineRule="auto"/>
        <w:jc w:val="both"/>
        <w:rPr>
          <w:rFonts w:ascii="Times New Roman" w:eastAsia="Aptos" w:hAnsi="Times New Roman" w:cs="Times New Roman"/>
          <w:sz w:val="24"/>
        </w:rPr>
      </w:pPr>
      <w:r w:rsidRPr="0050122D">
        <w:rPr>
          <w:rFonts w:ascii="Times New Roman" w:eastAsia="Times New Roman" w:hAnsi="Times New Roman" w:cs="Times New Roman"/>
          <w:kern w:val="0"/>
          <w:sz w:val="24"/>
          <w:szCs w:val="20"/>
          <w14:ligatures w14:val="none"/>
        </w:rPr>
        <w:t>The Mardia's Kurtosis normal test has a p-value of 12.37%, which is greater than the 10% significance level, which indicates that the series is normally distribution. Table 1 also demonstrates that the Doornik-Hansen normality test has a p-value of 8.96%, less than the 10% significance level, which signifies that the variables are not normally distributed.</w:t>
      </w:r>
    </w:p>
    <w:p w14:paraId="4352C8AE"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bookmarkStart w:id="53" w:name="_Toc180325925"/>
      <w:bookmarkStart w:id="54" w:name="_Toc183626785"/>
      <w:bookmarkStart w:id="55" w:name="_Hlk174704537"/>
      <w:bookmarkStart w:id="56" w:name="_Hlk175184465"/>
      <w:r w:rsidRPr="0050122D">
        <w:rPr>
          <w:rFonts w:ascii="Times New Roman" w:eastAsia="Times New Roman" w:hAnsi="Times New Roman" w:cs="Times New Roman"/>
          <w:b/>
          <w:bCs/>
          <w:kern w:val="0"/>
          <w:sz w:val="24"/>
          <w:szCs w:val="24"/>
          <w14:ligatures w14:val="none"/>
        </w:rPr>
        <w:t>Table 1: Multivariate normality test results</w:t>
      </w:r>
      <w:bookmarkEnd w:id="53"/>
      <w:bookmarkEnd w:id="54"/>
    </w:p>
    <w:tbl>
      <w:tblPr>
        <w:tblStyle w:val="TableGrid92"/>
        <w:tblW w:w="9351" w:type="dxa"/>
        <w:tblLook w:val="04A0" w:firstRow="1" w:lastRow="0" w:firstColumn="1" w:lastColumn="0" w:noHBand="0" w:noVBand="1"/>
      </w:tblPr>
      <w:tblGrid>
        <w:gridCol w:w="3115"/>
        <w:gridCol w:w="3115"/>
        <w:gridCol w:w="3121"/>
      </w:tblGrid>
      <w:tr w:rsidR="0050122D" w:rsidRPr="0050122D" w14:paraId="5E3AC9B8" w14:textId="77777777" w:rsidTr="0043536F">
        <w:tc>
          <w:tcPr>
            <w:tcW w:w="3115" w:type="dxa"/>
          </w:tcPr>
          <w:bookmarkEnd w:id="55"/>
          <w:p w14:paraId="59E99FB0" w14:textId="77777777" w:rsidR="0050122D" w:rsidRPr="0050122D" w:rsidRDefault="0050122D" w:rsidP="0050122D">
            <w:pPr>
              <w:spacing w:before="60" w:after="60"/>
              <w:jc w:val="center"/>
              <w:rPr>
                <w:b/>
                <w:bCs/>
                <w:sz w:val="24"/>
              </w:rPr>
            </w:pPr>
            <w:r w:rsidRPr="0050122D">
              <w:rPr>
                <w:b/>
                <w:bCs/>
                <w:sz w:val="24"/>
              </w:rPr>
              <w:t>Test</w:t>
            </w:r>
          </w:p>
        </w:tc>
        <w:tc>
          <w:tcPr>
            <w:tcW w:w="3115" w:type="dxa"/>
          </w:tcPr>
          <w:p w14:paraId="72A01307" w14:textId="77777777" w:rsidR="0050122D" w:rsidRPr="0050122D" w:rsidRDefault="0050122D" w:rsidP="0050122D">
            <w:pPr>
              <w:spacing w:before="60" w:after="60"/>
              <w:jc w:val="center"/>
              <w:rPr>
                <w:b/>
                <w:bCs/>
                <w:sz w:val="24"/>
              </w:rPr>
            </w:pPr>
            <w:r w:rsidRPr="0050122D">
              <w:rPr>
                <w:b/>
                <w:bCs/>
                <w:sz w:val="24"/>
              </w:rPr>
              <w:t>T-Statistics</w:t>
            </w:r>
          </w:p>
        </w:tc>
        <w:tc>
          <w:tcPr>
            <w:tcW w:w="3121" w:type="dxa"/>
          </w:tcPr>
          <w:p w14:paraId="0206E98F" w14:textId="77777777" w:rsidR="0050122D" w:rsidRPr="0050122D" w:rsidRDefault="0050122D" w:rsidP="0050122D">
            <w:pPr>
              <w:spacing w:before="60" w:after="60"/>
              <w:jc w:val="center"/>
              <w:rPr>
                <w:b/>
                <w:bCs/>
                <w:sz w:val="24"/>
              </w:rPr>
            </w:pPr>
            <w:r w:rsidRPr="0050122D">
              <w:rPr>
                <w:b/>
                <w:bCs/>
                <w:sz w:val="24"/>
              </w:rPr>
              <w:t>P-Value</w:t>
            </w:r>
          </w:p>
        </w:tc>
      </w:tr>
      <w:tr w:rsidR="0050122D" w:rsidRPr="0050122D" w14:paraId="525C295B" w14:textId="77777777" w:rsidTr="0043536F">
        <w:tc>
          <w:tcPr>
            <w:tcW w:w="3115" w:type="dxa"/>
          </w:tcPr>
          <w:p w14:paraId="10598F96" w14:textId="77777777" w:rsidR="0050122D" w:rsidRPr="0050122D" w:rsidRDefault="0050122D" w:rsidP="0050122D">
            <w:pPr>
              <w:spacing w:before="60" w:after="60"/>
              <w:rPr>
                <w:sz w:val="24"/>
              </w:rPr>
            </w:pPr>
            <w:r w:rsidRPr="0050122D">
              <w:rPr>
                <w:sz w:val="24"/>
              </w:rPr>
              <w:t>Shapiro-Wilk</w:t>
            </w:r>
          </w:p>
        </w:tc>
        <w:tc>
          <w:tcPr>
            <w:tcW w:w="3115" w:type="dxa"/>
          </w:tcPr>
          <w:p w14:paraId="56E61BA6" w14:textId="77777777" w:rsidR="0050122D" w:rsidRPr="0050122D" w:rsidRDefault="0050122D" w:rsidP="0050122D">
            <w:pPr>
              <w:spacing w:before="60" w:after="60"/>
              <w:jc w:val="center"/>
              <w:rPr>
                <w:sz w:val="24"/>
              </w:rPr>
            </w:pPr>
            <w:r w:rsidRPr="0050122D">
              <w:rPr>
                <w:sz w:val="24"/>
              </w:rPr>
              <w:t>0.7753</w:t>
            </w:r>
          </w:p>
        </w:tc>
        <w:tc>
          <w:tcPr>
            <w:tcW w:w="3121" w:type="dxa"/>
          </w:tcPr>
          <w:p w14:paraId="54BF84F2" w14:textId="77777777" w:rsidR="0050122D" w:rsidRPr="0050122D" w:rsidRDefault="0050122D" w:rsidP="0050122D">
            <w:pPr>
              <w:spacing w:before="60" w:after="60"/>
              <w:jc w:val="center"/>
              <w:rPr>
                <w:sz w:val="24"/>
              </w:rPr>
            </w:pPr>
            <w:r w:rsidRPr="0050122D">
              <w:rPr>
                <w:sz w:val="24"/>
              </w:rPr>
              <w:t>0.0000</w:t>
            </w:r>
          </w:p>
        </w:tc>
      </w:tr>
      <w:tr w:rsidR="0050122D" w:rsidRPr="0050122D" w14:paraId="412C7580" w14:textId="77777777" w:rsidTr="0043536F">
        <w:tc>
          <w:tcPr>
            <w:tcW w:w="3115" w:type="dxa"/>
          </w:tcPr>
          <w:p w14:paraId="34AB620C" w14:textId="77777777" w:rsidR="0050122D" w:rsidRPr="0050122D" w:rsidRDefault="0050122D" w:rsidP="0050122D">
            <w:pPr>
              <w:spacing w:before="60" w:after="60"/>
              <w:rPr>
                <w:sz w:val="24"/>
              </w:rPr>
            </w:pPr>
            <w:bookmarkStart w:id="57" w:name="_Hlk170220302"/>
            <w:r w:rsidRPr="0050122D">
              <w:rPr>
                <w:sz w:val="24"/>
              </w:rPr>
              <w:t>Henze-Zirkler</w:t>
            </w:r>
            <w:bookmarkEnd w:id="57"/>
          </w:p>
        </w:tc>
        <w:tc>
          <w:tcPr>
            <w:tcW w:w="3115" w:type="dxa"/>
          </w:tcPr>
          <w:p w14:paraId="2DDD45F8" w14:textId="77777777" w:rsidR="0050122D" w:rsidRPr="0050122D" w:rsidRDefault="0050122D" w:rsidP="0050122D">
            <w:pPr>
              <w:spacing w:before="60" w:after="60"/>
              <w:jc w:val="center"/>
              <w:rPr>
                <w:sz w:val="24"/>
              </w:rPr>
            </w:pPr>
            <w:r w:rsidRPr="0050122D">
              <w:rPr>
                <w:sz w:val="24"/>
              </w:rPr>
              <w:t>0.9335</w:t>
            </w:r>
          </w:p>
        </w:tc>
        <w:tc>
          <w:tcPr>
            <w:tcW w:w="3121" w:type="dxa"/>
          </w:tcPr>
          <w:p w14:paraId="1CD20C3E" w14:textId="77777777" w:rsidR="0050122D" w:rsidRPr="0050122D" w:rsidRDefault="0050122D" w:rsidP="0050122D">
            <w:pPr>
              <w:spacing w:before="60" w:after="60"/>
              <w:jc w:val="center"/>
              <w:rPr>
                <w:sz w:val="24"/>
              </w:rPr>
            </w:pPr>
            <w:r w:rsidRPr="0050122D">
              <w:rPr>
                <w:sz w:val="24"/>
              </w:rPr>
              <w:t>0.0928</w:t>
            </w:r>
          </w:p>
        </w:tc>
      </w:tr>
      <w:tr w:rsidR="0050122D" w:rsidRPr="0050122D" w14:paraId="6E548931" w14:textId="77777777" w:rsidTr="0043536F">
        <w:tc>
          <w:tcPr>
            <w:tcW w:w="3115" w:type="dxa"/>
          </w:tcPr>
          <w:p w14:paraId="61A47435" w14:textId="77777777" w:rsidR="0050122D" w:rsidRPr="0050122D" w:rsidRDefault="0050122D" w:rsidP="0050122D">
            <w:pPr>
              <w:spacing w:before="60" w:after="60"/>
              <w:rPr>
                <w:sz w:val="24"/>
              </w:rPr>
            </w:pPr>
            <w:bookmarkStart w:id="58" w:name="_Hlk170220872"/>
            <w:r w:rsidRPr="0050122D">
              <w:rPr>
                <w:sz w:val="24"/>
              </w:rPr>
              <w:t>Mardia's Skewness</w:t>
            </w:r>
            <w:bookmarkEnd w:id="58"/>
          </w:p>
        </w:tc>
        <w:tc>
          <w:tcPr>
            <w:tcW w:w="3115" w:type="dxa"/>
          </w:tcPr>
          <w:p w14:paraId="7D0B04BE" w14:textId="77777777" w:rsidR="0050122D" w:rsidRPr="0050122D" w:rsidRDefault="0050122D" w:rsidP="0050122D">
            <w:pPr>
              <w:spacing w:before="60" w:after="60"/>
              <w:jc w:val="center"/>
              <w:rPr>
                <w:sz w:val="24"/>
              </w:rPr>
            </w:pPr>
            <w:r w:rsidRPr="0050122D">
              <w:rPr>
                <w:sz w:val="24"/>
              </w:rPr>
              <w:t>17.5158</w:t>
            </w:r>
          </w:p>
        </w:tc>
        <w:tc>
          <w:tcPr>
            <w:tcW w:w="3121" w:type="dxa"/>
          </w:tcPr>
          <w:p w14:paraId="2AC1F804" w14:textId="77777777" w:rsidR="0050122D" w:rsidRPr="0050122D" w:rsidRDefault="0050122D" w:rsidP="0050122D">
            <w:pPr>
              <w:spacing w:before="60" w:after="60"/>
              <w:jc w:val="center"/>
              <w:rPr>
                <w:sz w:val="24"/>
              </w:rPr>
            </w:pPr>
            <w:r w:rsidRPr="0050122D">
              <w:rPr>
                <w:sz w:val="24"/>
              </w:rPr>
              <w:t>0.0044</w:t>
            </w:r>
          </w:p>
        </w:tc>
      </w:tr>
      <w:tr w:rsidR="0050122D" w:rsidRPr="0050122D" w14:paraId="713A7960" w14:textId="77777777" w:rsidTr="0043536F">
        <w:tc>
          <w:tcPr>
            <w:tcW w:w="3115" w:type="dxa"/>
          </w:tcPr>
          <w:p w14:paraId="3C20118A" w14:textId="77777777" w:rsidR="0050122D" w:rsidRPr="0050122D" w:rsidRDefault="0050122D" w:rsidP="0050122D">
            <w:pPr>
              <w:spacing w:before="60" w:after="60"/>
              <w:rPr>
                <w:sz w:val="24"/>
              </w:rPr>
            </w:pPr>
            <w:bookmarkStart w:id="59" w:name="_Hlk176557693"/>
            <w:r w:rsidRPr="0050122D">
              <w:rPr>
                <w:sz w:val="24"/>
              </w:rPr>
              <w:t>Adjusted</w:t>
            </w:r>
            <w:r w:rsidRPr="0050122D">
              <w:t xml:space="preserve"> </w:t>
            </w:r>
            <w:r w:rsidRPr="0050122D">
              <w:rPr>
                <w:sz w:val="24"/>
              </w:rPr>
              <w:t>Mardia's Skewness</w:t>
            </w:r>
            <w:bookmarkEnd w:id="59"/>
          </w:p>
        </w:tc>
        <w:tc>
          <w:tcPr>
            <w:tcW w:w="3115" w:type="dxa"/>
          </w:tcPr>
          <w:p w14:paraId="354DB4F9" w14:textId="77777777" w:rsidR="0050122D" w:rsidRPr="0050122D" w:rsidRDefault="0050122D" w:rsidP="0050122D">
            <w:pPr>
              <w:spacing w:before="60" w:after="60"/>
              <w:jc w:val="center"/>
              <w:rPr>
                <w:sz w:val="24"/>
              </w:rPr>
            </w:pPr>
            <w:r w:rsidRPr="0050122D">
              <w:rPr>
                <w:sz w:val="24"/>
              </w:rPr>
              <w:t>17.5158</w:t>
            </w:r>
          </w:p>
        </w:tc>
        <w:tc>
          <w:tcPr>
            <w:tcW w:w="3121" w:type="dxa"/>
          </w:tcPr>
          <w:p w14:paraId="01248622" w14:textId="77777777" w:rsidR="0050122D" w:rsidRPr="0050122D" w:rsidRDefault="0050122D" w:rsidP="0050122D">
            <w:pPr>
              <w:spacing w:before="60" w:after="60"/>
              <w:jc w:val="center"/>
              <w:rPr>
                <w:sz w:val="24"/>
              </w:rPr>
            </w:pPr>
            <w:r w:rsidRPr="0050122D">
              <w:rPr>
                <w:sz w:val="24"/>
              </w:rPr>
              <w:t>0.0</w:t>
            </w:r>
            <w:bookmarkStart w:id="60" w:name="_Hlk176557755"/>
            <w:r w:rsidRPr="0050122D">
              <w:rPr>
                <w:sz w:val="24"/>
              </w:rPr>
              <w:t>003</w:t>
            </w:r>
            <w:bookmarkEnd w:id="60"/>
          </w:p>
        </w:tc>
      </w:tr>
      <w:tr w:rsidR="0050122D" w:rsidRPr="0050122D" w14:paraId="4B2F9798" w14:textId="77777777" w:rsidTr="0043536F">
        <w:tc>
          <w:tcPr>
            <w:tcW w:w="3115" w:type="dxa"/>
          </w:tcPr>
          <w:p w14:paraId="6B4F4C76" w14:textId="77777777" w:rsidR="0050122D" w:rsidRPr="0050122D" w:rsidRDefault="0050122D" w:rsidP="0050122D">
            <w:pPr>
              <w:spacing w:before="60" w:after="60"/>
              <w:rPr>
                <w:sz w:val="24"/>
              </w:rPr>
            </w:pPr>
            <w:r w:rsidRPr="0050122D">
              <w:rPr>
                <w:sz w:val="24"/>
              </w:rPr>
              <w:t>Mardia's Kurtosis</w:t>
            </w:r>
          </w:p>
        </w:tc>
        <w:tc>
          <w:tcPr>
            <w:tcW w:w="3115" w:type="dxa"/>
          </w:tcPr>
          <w:p w14:paraId="5C354885" w14:textId="77777777" w:rsidR="0050122D" w:rsidRPr="0050122D" w:rsidRDefault="0050122D" w:rsidP="0050122D">
            <w:pPr>
              <w:spacing w:before="60" w:after="60"/>
              <w:jc w:val="center"/>
              <w:rPr>
                <w:sz w:val="24"/>
              </w:rPr>
            </w:pPr>
            <w:r w:rsidRPr="0050122D">
              <w:rPr>
                <w:sz w:val="24"/>
              </w:rPr>
              <w:t>53.5069</w:t>
            </w:r>
          </w:p>
        </w:tc>
        <w:tc>
          <w:tcPr>
            <w:tcW w:w="3121" w:type="dxa"/>
          </w:tcPr>
          <w:p w14:paraId="032C07B0" w14:textId="77777777" w:rsidR="0050122D" w:rsidRPr="0050122D" w:rsidRDefault="0050122D" w:rsidP="0050122D">
            <w:pPr>
              <w:spacing w:before="60" w:after="60"/>
              <w:jc w:val="center"/>
              <w:rPr>
                <w:sz w:val="24"/>
              </w:rPr>
            </w:pPr>
            <w:r w:rsidRPr="0050122D">
              <w:rPr>
                <w:sz w:val="24"/>
              </w:rPr>
              <w:t>0.1237</w:t>
            </w:r>
          </w:p>
        </w:tc>
      </w:tr>
      <w:tr w:rsidR="0050122D" w:rsidRPr="0050122D" w14:paraId="007896F7" w14:textId="77777777" w:rsidTr="0043536F">
        <w:tc>
          <w:tcPr>
            <w:tcW w:w="3115" w:type="dxa"/>
          </w:tcPr>
          <w:p w14:paraId="7BD785F3" w14:textId="77777777" w:rsidR="0050122D" w:rsidRPr="0050122D" w:rsidRDefault="0050122D" w:rsidP="0050122D">
            <w:pPr>
              <w:spacing w:before="60" w:after="60"/>
              <w:rPr>
                <w:sz w:val="24"/>
              </w:rPr>
            </w:pPr>
            <w:r w:rsidRPr="0050122D">
              <w:rPr>
                <w:sz w:val="24"/>
              </w:rPr>
              <w:t>Doornik-Hansen</w:t>
            </w:r>
          </w:p>
        </w:tc>
        <w:tc>
          <w:tcPr>
            <w:tcW w:w="3115" w:type="dxa"/>
          </w:tcPr>
          <w:p w14:paraId="163AA30E" w14:textId="77777777" w:rsidR="0050122D" w:rsidRPr="0050122D" w:rsidRDefault="0050122D" w:rsidP="0050122D">
            <w:pPr>
              <w:spacing w:before="60" w:after="60"/>
              <w:jc w:val="center"/>
              <w:rPr>
                <w:sz w:val="24"/>
              </w:rPr>
            </w:pPr>
            <w:r w:rsidRPr="0050122D">
              <w:rPr>
                <w:sz w:val="24"/>
              </w:rPr>
              <w:t>18.9575</w:t>
            </w:r>
          </w:p>
        </w:tc>
        <w:tc>
          <w:tcPr>
            <w:tcW w:w="3121" w:type="dxa"/>
          </w:tcPr>
          <w:p w14:paraId="628E1997" w14:textId="77777777" w:rsidR="0050122D" w:rsidRPr="0050122D" w:rsidRDefault="0050122D" w:rsidP="0050122D">
            <w:pPr>
              <w:spacing w:before="60" w:after="60"/>
              <w:jc w:val="center"/>
              <w:rPr>
                <w:sz w:val="24"/>
              </w:rPr>
            </w:pPr>
            <w:r w:rsidRPr="0050122D">
              <w:rPr>
                <w:sz w:val="24"/>
              </w:rPr>
              <w:t>0.0896</w:t>
            </w:r>
          </w:p>
        </w:tc>
      </w:tr>
    </w:tbl>
    <w:p w14:paraId="2D4444CB" w14:textId="77777777" w:rsidR="0050122D" w:rsidRPr="0050122D" w:rsidRDefault="0050122D" w:rsidP="0050122D">
      <w:pPr>
        <w:spacing w:before="60" w:after="240" w:line="360" w:lineRule="auto"/>
        <w:rPr>
          <w:rFonts w:ascii="Times New Roman" w:eastAsia="Times New Roman" w:hAnsi="Times New Roman" w:cs="Times New Roman"/>
          <w:i/>
          <w:noProof/>
          <w:kern w:val="0"/>
          <w:sz w:val="24"/>
          <w:szCs w:val="20"/>
          <w14:ligatures w14:val="none"/>
        </w:rPr>
      </w:pPr>
      <w:r w:rsidRPr="0050122D">
        <w:rPr>
          <w:rFonts w:ascii="Times New Roman" w:eastAsia="Times New Roman" w:hAnsi="Times New Roman" w:cs="Times New Roman"/>
          <w:i/>
          <w:noProof/>
          <w:kern w:val="0"/>
          <w:sz w:val="24"/>
          <w:szCs w:val="20"/>
          <w14:ligatures w14:val="none"/>
        </w:rPr>
        <w:t>Source: Author’s computation using Eviews 14</w:t>
      </w:r>
      <w:bookmarkEnd w:id="56"/>
    </w:p>
    <w:p w14:paraId="2F0FE907"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In summary, the series is not normally distributed, and these findings support the estimation of the QARDL model, since the normal distribution of the variables is not a prerequisite of the QARDL method (Shahzad </w:t>
      </w:r>
      <w:r w:rsidRPr="0050122D">
        <w:rPr>
          <w:rFonts w:ascii="Times New Roman" w:eastAsia="Calibri" w:hAnsi="Times New Roman" w:cs="Times New Roman"/>
          <w:i/>
          <w:iCs/>
          <w:kern w:val="0"/>
          <w:sz w:val="24"/>
          <w:szCs w:val="24"/>
          <w14:ligatures w14:val="none"/>
        </w:rPr>
        <w:t xml:space="preserve">et al., </w:t>
      </w:r>
      <w:r w:rsidRPr="0050122D">
        <w:rPr>
          <w:rFonts w:ascii="Times New Roman" w:eastAsia="Times New Roman" w:hAnsi="Times New Roman" w:cs="Times New Roman"/>
          <w:kern w:val="0"/>
          <w:sz w:val="24"/>
          <w:szCs w:val="24"/>
          <w14:ligatures w14:val="none"/>
        </w:rPr>
        <w:t>2021).</w:t>
      </w:r>
    </w:p>
    <w:p w14:paraId="106B8940" w14:textId="77777777" w:rsidR="0050122D" w:rsidRPr="0050122D" w:rsidRDefault="0050122D" w:rsidP="0050122D">
      <w:pPr>
        <w:keepNext/>
        <w:numPr>
          <w:ilvl w:val="2"/>
          <w:numId w:val="0"/>
        </w:numPr>
        <w:spacing w:before="120" w:after="0" w:line="360" w:lineRule="auto"/>
        <w:ind w:left="851" w:hanging="851"/>
        <w:jc w:val="both"/>
        <w:rPr>
          <w:rFonts w:ascii="Times New Roman" w:eastAsia="Calibri" w:hAnsi="Times New Roman" w:cs="Times New Roman"/>
          <w:b/>
          <w:bCs/>
          <w:kern w:val="0"/>
          <w:sz w:val="24"/>
          <w:szCs w:val="24"/>
          <w14:ligatures w14:val="none"/>
        </w:rPr>
      </w:pPr>
      <w:r w:rsidRPr="0050122D">
        <w:rPr>
          <w:rFonts w:ascii="Times New Roman" w:eastAsia="Calibri" w:hAnsi="Times New Roman" w:cs="Times New Roman"/>
          <w:b/>
          <w:bCs/>
          <w:kern w:val="0"/>
          <w:sz w:val="24"/>
          <w:szCs w:val="24"/>
          <w14:ligatures w14:val="none"/>
        </w:rPr>
        <w:t>4.2</w:t>
      </w:r>
      <w:bookmarkEnd w:id="50"/>
      <w:bookmarkEnd w:id="51"/>
      <w:r w:rsidRPr="0050122D">
        <w:rPr>
          <w:rFonts w:ascii="Times New Roman" w:eastAsia="Calibri" w:hAnsi="Times New Roman" w:cs="Times New Roman"/>
          <w:b/>
          <w:bCs/>
          <w:kern w:val="0"/>
          <w:sz w:val="24"/>
          <w:szCs w:val="24"/>
          <w14:ligatures w14:val="none"/>
        </w:rPr>
        <w:t xml:space="preserve"> Quantile unit root test</w:t>
      </w:r>
    </w:p>
    <w:p w14:paraId="087D13F7"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lang w:eastAsia="en-ZA"/>
          <w14:ligatures w14:val="none"/>
        </w:rPr>
        <w:t xml:space="preserve">This econometric study applies the </w:t>
      </w:r>
      <w:bookmarkStart w:id="61" w:name="_Hlk174716728"/>
      <w:r w:rsidRPr="0050122D">
        <w:rPr>
          <w:rFonts w:ascii="Times New Roman" w:eastAsia="Times New Roman" w:hAnsi="Times New Roman" w:cs="Times New Roman"/>
          <w:kern w:val="0"/>
          <w:sz w:val="24"/>
          <w:szCs w:val="24"/>
          <w:lang w:eastAsia="en-ZA"/>
          <w14:ligatures w14:val="none"/>
        </w:rPr>
        <w:t xml:space="preserve">Quantile Augmented Dickey-Fuller </w:t>
      </w:r>
      <w:bookmarkEnd w:id="61"/>
      <w:r w:rsidRPr="0050122D">
        <w:rPr>
          <w:rFonts w:ascii="Times New Roman" w:eastAsia="Times New Roman" w:hAnsi="Times New Roman" w:cs="Times New Roman"/>
          <w:kern w:val="0"/>
          <w:sz w:val="24"/>
          <w:szCs w:val="24"/>
          <w:lang w:eastAsia="en-ZA"/>
          <w14:ligatures w14:val="none"/>
        </w:rPr>
        <w:t>and Quantile Phillips-Perron unit root tests,</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Times New Roman" w:hAnsi="Times New Roman" w:cs="Times New Roman"/>
          <w:kern w:val="0"/>
          <w:sz w:val="24"/>
          <w:szCs w:val="24"/>
          <w:lang w:eastAsia="en-ZA"/>
          <w14:ligatures w14:val="none"/>
        </w:rPr>
        <w:t xml:space="preserve">as discussed in the previous chapter. The quantile ADF unit root test was estimated in this study, followed by the quantile PP unit root test. </w:t>
      </w:r>
      <w:bookmarkStart w:id="62" w:name="_Hlk174827806"/>
      <w:r w:rsidRPr="0050122D">
        <w:rPr>
          <w:rFonts w:ascii="Times New Roman" w:eastAsia="Times New Roman" w:hAnsi="Times New Roman" w:cs="Times New Roman"/>
          <w:kern w:val="0"/>
          <w:sz w:val="24"/>
          <w:szCs w:val="24"/>
          <w:lang w:eastAsia="en-ZA"/>
          <w14:ligatures w14:val="none"/>
        </w:rPr>
        <w:t>Table 2 below presents the results for the QADF unit root test at level, of each quantile</w:t>
      </w:r>
      <w:bookmarkEnd w:id="62"/>
      <w:r w:rsidRPr="0050122D">
        <w:rPr>
          <w:rFonts w:ascii="Times New Roman" w:eastAsia="Times New Roman" w:hAnsi="Times New Roman" w:cs="Times New Roman"/>
          <w:kern w:val="0"/>
          <w:sz w:val="24"/>
          <w:szCs w:val="24"/>
          <w:lang w:eastAsia="en-ZA"/>
          <w14:ligatures w14:val="none"/>
        </w:rPr>
        <w:t>.</w:t>
      </w:r>
      <w:r w:rsidRPr="0050122D">
        <w:rPr>
          <w:rFonts w:ascii="Times New Roman" w:eastAsia="Times New Roman" w:hAnsi="Times New Roman" w:cs="Times New Roman"/>
          <w:kern w:val="0"/>
          <w:sz w:val="24"/>
          <w:szCs w:val="24"/>
          <w14:ligatures w14:val="none"/>
        </w:rPr>
        <w:t xml:space="preserve"> </w:t>
      </w:r>
      <w:bookmarkStart w:id="63" w:name="_Hlk174828266"/>
      <w:bookmarkStart w:id="64" w:name="_Hlk176551674"/>
    </w:p>
    <w:p w14:paraId="41738CEF"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lang w:eastAsia="en-ZA"/>
          <w14:ligatures w14:val="none"/>
        </w:rPr>
        <w:t xml:space="preserve">Table 2 indicates that in the lower quantiles, household consumption has a p-value of 99.7% at quantile 0.10 and a p-value of 76.1% at quantile 0.25; pay as you earn tax has a p-value of 77.5% at quantile 0.10. Additionally, household disposable income has a p-value of 99.3% and 91%, and unemployment has a p-value of 69.2% and 50.9% in quantiles 0.10 and 0.25, respectively. </w:t>
      </w:r>
      <w:bookmarkEnd w:id="63"/>
      <w:bookmarkEnd w:id="64"/>
      <w:r w:rsidRPr="0050122D">
        <w:rPr>
          <w:rFonts w:ascii="Times New Roman" w:eastAsia="Times New Roman" w:hAnsi="Times New Roman" w:cs="Times New Roman"/>
          <w:kern w:val="0"/>
          <w:sz w:val="24"/>
          <w:szCs w:val="24"/>
          <w14:ligatures w14:val="none"/>
        </w:rPr>
        <w:t xml:space="preserve">All the p-values of the variables of interest are greater than the 10% level of significance, which signifies that the series is not stationary at the specified lower quantiles. In the middle quantiles, the p-value of household consumption is 55.1% at quantile 0.40, household disposable income has the following p-values of 13.9% at quantile 0.40, and unemployment is sitting with a p-value of 23.2%. It means that all the mentioned variables are not stationary at the 0.40 middle quantiles, since the p-values are greater than the 10% level of significance. </w:t>
      </w:r>
    </w:p>
    <w:p w14:paraId="08F296BD"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On the other hand, in Table 2, pay as you earn tax has a p-value of 0.1% at quantile 0.25, which is less than the 1% significance level. This means that the variables are stationary at specified lower quantiles. Furthermore, pay as you earn tax is stationary at quantile 0.40, which less than the 1% significance level. At quantile 0.50 and 0.60, household consumption, pay as you earn tax, and household disposable income are stationary, as presented in Table 2. </w:t>
      </w:r>
    </w:p>
    <w:p w14:paraId="5D8D8DA6"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r w:rsidRPr="0050122D">
        <w:rPr>
          <w:rFonts w:ascii="Times New Roman" w:eastAsia="Times New Roman" w:hAnsi="Times New Roman" w:cs="Times New Roman"/>
          <w:kern w:val="0"/>
          <w:sz w:val="24"/>
          <w:szCs w:val="24"/>
          <w14:ligatures w14:val="none"/>
        </w:rPr>
        <w:t>Table 2 indicates that in the upper quantiles, household consumption, pay as you earn tax, and household disposable income are stationary at quantile 0.75 and 0.90.</w:t>
      </w:r>
      <w:r w:rsidRPr="0050122D">
        <w:rPr>
          <w:rFonts w:ascii="Times New Roman" w:eastAsia="Times New Roman" w:hAnsi="Times New Roman" w:cs="Times New Roman"/>
          <w:b/>
          <w:bCs/>
          <w:kern w:val="0"/>
          <w:sz w:val="24"/>
          <w:szCs w:val="24"/>
          <w14:ligatures w14:val="none"/>
        </w:rPr>
        <w:t xml:space="preserve"> </w:t>
      </w:r>
    </w:p>
    <w:p w14:paraId="1A8013F7"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r w:rsidRPr="0050122D">
        <w:rPr>
          <w:rFonts w:ascii="Times New Roman" w:eastAsia="Times New Roman" w:hAnsi="Times New Roman" w:cs="Times New Roman"/>
          <w:b/>
          <w:bCs/>
          <w:kern w:val="0"/>
          <w:sz w:val="24"/>
          <w:szCs w:val="24"/>
          <w14:ligatures w14:val="none"/>
        </w:rPr>
        <w:t>Table 2: Quantile Augmented Dickey-Fuller test at level</w:t>
      </w:r>
    </w:p>
    <w:tbl>
      <w:tblPr>
        <w:tblStyle w:val="TableGrid30"/>
        <w:tblpPr w:leftFromText="180" w:rightFromText="180" w:vertAnchor="text" w:horzAnchor="margin" w:tblpXSpec="center" w:tblpY="108"/>
        <w:tblW w:w="4936" w:type="pct"/>
        <w:tblLook w:val="04A0" w:firstRow="1" w:lastRow="0" w:firstColumn="1" w:lastColumn="0" w:noHBand="0" w:noVBand="1"/>
      </w:tblPr>
      <w:tblGrid>
        <w:gridCol w:w="1991"/>
        <w:gridCol w:w="1843"/>
        <w:gridCol w:w="1843"/>
        <w:gridCol w:w="1843"/>
        <w:gridCol w:w="1705"/>
      </w:tblGrid>
      <w:tr w:rsidR="0050122D" w:rsidRPr="0050122D" w14:paraId="1B999A83" w14:textId="77777777" w:rsidTr="0043536F">
        <w:trPr>
          <w:trHeight w:val="332"/>
          <w:tblHeader/>
        </w:trPr>
        <w:tc>
          <w:tcPr>
            <w:tcW w:w="1079" w:type="pct"/>
            <w:vMerge w:val="restart"/>
          </w:tcPr>
          <w:p w14:paraId="3E8AAB78" w14:textId="77777777" w:rsidR="0050122D" w:rsidRPr="0050122D" w:rsidRDefault="0050122D" w:rsidP="0050122D">
            <w:pPr>
              <w:spacing w:before="60" w:after="60"/>
              <w:jc w:val="center"/>
              <w:rPr>
                <w:rFonts w:ascii="Times New Roman" w:eastAsia="Calibri" w:hAnsi="Times New Roman" w:cs="Times New Roman"/>
                <w:b/>
                <w:sz w:val="24"/>
                <w:szCs w:val="24"/>
              </w:rPr>
            </w:pPr>
            <w:r w:rsidRPr="0050122D">
              <w:rPr>
                <w:rFonts w:ascii="Times New Roman" w:eastAsia="Calibri" w:hAnsi="Times New Roman" w:cs="Times New Roman"/>
                <w:b/>
                <w:sz w:val="24"/>
                <w:szCs w:val="24"/>
              </w:rPr>
              <w:t>Quantiles</w:t>
            </w:r>
          </w:p>
        </w:tc>
        <w:tc>
          <w:tcPr>
            <w:tcW w:w="999" w:type="pct"/>
          </w:tcPr>
          <w:p w14:paraId="68E0F208"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HC </w:t>
            </w:r>
          </w:p>
        </w:tc>
        <w:tc>
          <w:tcPr>
            <w:tcW w:w="999" w:type="pct"/>
          </w:tcPr>
          <w:p w14:paraId="18B21C23"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PAYE</w:t>
            </w:r>
          </w:p>
        </w:tc>
        <w:tc>
          <w:tcPr>
            <w:tcW w:w="999" w:type="pct"/>
          </w:tcPr>
          <w:p w14:paraId="03EE2E87"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HDI</w:t>
            </w:r>
          </w:p>
        </w:tc>
        <w:tc>
          <w:tcPr>
            <w:tcW w:w="924" w:type="pct"/>
          </w:tcPr>
          <w:p w14:paraId="637BB347"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UER </w:t>
            </w:r>
          </w:p>
        </w:tc>
      </w:tr>
      <w:tr w:rsidR="0050122D" w:rsidRPr="0050122D" w14:paraId="00B61960" w14:textId="77777777" w:rsidTr="0043536F">
        <w:trPr>
          <w:trHeight w:val="296"/>
          <w:tblHeader/>
        </w:trPr>
        <w:tc>
          <w:tcPr>
            <w:tcW w:w="1079" w:type="pct"/>
            <w:vMerge/>
          </w:tcPr>
          <w:p w14:paraId="6EC966C2" w14:textId="77777777" w:rsidR="0050122D" w:rsidRPr="0050122D" w:rsidRDefault="0050122D" w:rsidP="0050122D">
            <w:pPr>
              <w:spacing w:before="60" w:after="60"/>
              <w:jc w:val="center"/>
              <w:rPr>
                <w:rFonts w:ascii="Times New Roman" w:eastAsia="Calibri" w:hAnsi="Times New Roman" w:cs="Times New Roman"/>
                <w:b/>
                <w:sz w:val="24"/>
                <w:szCs w:val="24"/>
              </w:rPr>
            </w:pPr>
          </w:p>
        </w:tc>
        <w:tc>
          <w:tcPr>
            <w:tcW w:w="999" w:type="pct"/>
          </w:tcPr>
          <w:p w14:paraId="3F781225"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999" w:type="pct"/>
          </w:tcPr>
          <w:p w14:paraId="7C5CDE0B"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999" w:type="pct"/>
          </w:tcPr>
          <w:p w14:paraId="11BF4C9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924" w:type="pct"/>
          </w:tcPr>
          <w:p w14:paraId="72E9718D"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r>
      <w:tr w:rsidR="0050122D" w:rsidRPr="0050122D" w14:paraId="2D98AA53" w14:textId="77777777" w:rsidTr="0043536F">
        <w:trPr>
          <w:trHeight w:val="269"/>
          <w:tblHeader/>
        </w:trPr>
        <w:tc>
          <w:tcPr>
            <w:tcW w:w="1079" w:type="pct"/>
          </w:tcPr>
          <w:p w14:paraId="64F821C2" w14:textId="77777777" w:rsidR="0050122D" w:rsidRPr="0050122D" w:rsidRDefault="0050122D" w:rsidP="0050122D">
            <w:pPr>
              <w:spacing w:before="60" w:after="60"/>
              <w:jc w:val="center"/>
              <w:rPr>
                <w:rFonts w:ascii="Times New Roman" w:eastAsia="Calibri" w:hAnsi="Times New Roman" w:cs="Times New Roman"/>
                <w:b/>
                <w:sz w:val="24"/>
                <w:szCs w:val="24"/>
              </w:rPr>
            </w:pPr>
            <w:r w:rsidRPr="0050122D">
              <w:rPr>
                <w:rFonts w:ascii="Times New Roman" w:eastAsia="Calibri" w:hAnsi="Times New Roman" w:cs="Times New Roman"/>
                <w:sz w:val="24"/>
                <w:szCs w:val="24"/>
              </w:rPr>
              <w:t>0.10</w:t>
            </w:r>
          </w:p>
        </w:tc>
        <w:tc>
          <w:tcPr>
            <w:tcW w:w="999" w:type="pct"/>
          </w:tcPr>
          <w:p w14:paraId="1E33FDED"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0.997</w:t>
            </w:r>
          </w:p>
        </w:tc>
        <w:tc>
          <w:tcPr>
            <w:tcW w:w="999" w:type="pct"/>
          </w:tcPr>
          <w:p w14:paraId="4BA121FF"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0.775</w:t>
            </w:r>
          </w:p>
        </w:tc>
        <w:tc>
          <w:tcPr>
            <w:tcW w:w="999" w:type="pct"/>
          </w:tcPr>
          <w:p w14:paraId="7FA2169D"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0.993</w:t>
            </w:r>
          </w:p>
        </w:tc>
        <w:tc>
          <w:tcPr>
            <w:tcW w:w="924" w:type="pct"/>
          </w:tcPr>
          <w:p w14:paraId="084A8338"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0.692</w:t>
            </w:r>
          </w:p>
        </w:tc>
      </w:tr>
      <w:tr w:rsidR="0050122D" w:rsidRPr="0050122D" w14:paraId="0003B17D" w14:textId="77777777" w:rsidTr="0043536F">
        <w:trPr>
          <w:trHeight w:val="336"/>
        </w:trPr>
        <w:tc>
          <w:tcPr>
            <w:tcW w:w="1079" w:type="pct"/>
          </w:tcPr>
          <w:p w14:paraId="54CB07B8"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0.25</w:t>
            </w:r>
          </w:p>
        </w:tc>
        <w:tc>
          <w:tcPr>
            <w:tcW w:w="999" w:type="pct"/>
          </w:tcPr>
          <w:p w14:paraId="0BF40852"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0.761</w:t>
            </w:r>
          </w:p>
        </w:tc>
        <w:tc>
          <w:tcPr>
            <w:tcW w:w="999" w:type="pct"/>
          </w:tcPr>
          <w:p w14:paraId="2BEFE98A"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0.001***</w:t>
            </w:r>
          </w:p>
        </w:tc>
        <w:tc>
          <w:tcPr>
            <w:tcW w:w="999" w:type="pct"/>
          </w:tcPr>
          <w:p w14:paraId="2DDF0C01"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0.910</w:t>
            </w:r>
          </w:p>
        </w:tc>
        <w:tc>
          <w:tcPr>
            <w:tcW w:w="924" w:type="pct"/>
          </w:tcPr>
          <w:p w14:paraId="60DC5708"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 xml:space="preserve">0.509       </w:t>
            </w:r>
          </w:p>
        </w:tc>
      </w:tr>
      <w:tr w:rsidR="0050122D" w:rsidRPr="0050122D" w14:paraId="45279A39" w14:textId="77777777" w:rsidTr="0043536F">
        <w:trPr>
          <w:trHeight w:val="186"/>
        </w:trPr>
        <w:tc>
          <w:tcPr>
            <w:tcW w:w="1079" w:type="pct"/>
          </w:tcPr>
          <w:p w14:paraId="28BCCB3F"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0.40</w:t>
            </w:r>
          </w:p>
        </w:tc>
        <w:tc>
          <w:tcPr>
            <w:tcW w:w="999" w:type="pct"/>
          </w:tcPr>
          <w:p w14:paraId="6DCE0AA0" w14:textId="77777777" w:rsidR="0050122D" w:rsidRPr="0050122D" w:rsidRDefault="0050122D" w:rsidP="0050122D">
            <w:pPr>
              <w:spacing w:before="60" w:after="60"/>
              <w:rPr>
                <w:rFonts w:ascii="Times New Roman" w:eastAsia="Calibri" w:hAnsi="Times New Roman" w:cs="Times New Roman"/>
                <w:sz w:val="24"/>
                <w:szCs w:val="24"/>
              </w:rPr>
            </w:pPr>
            <w:bookmarkStart w:id="65" w:name="_Hlk174912213"/>
            <w:bookmarkEnd w:id="65"/>
            <w:r w:rsidRPr="0050122D">
              <w:rPr>
                <w:rFonts w:ascii="Times New Roman" w:eastAsia="Calibri" w:hAnsi="Times New Roman" w:cs="Times New Roman"/>
                <w:sz w:val="24"/>
                <w:szCs w:val="24"/>
              </w:rPr>
              <w:t>0.551</w:t>
            </w:r>
          </w:p>
        </w:tc>
        <w:tc>
          <w:tcPr>
            <w:tcW w:w="999" w:type="pct"/>
          </w:tcPr>
          <w:p w14:paraId="147A8284"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99" w:type="pct"/>
          </w:tcPr>
          <w:p w14:paraId="3AEDD0DA"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w:t>
            </w:r>
            <w:bookmarkStart w:id="66" w:name="_Hlk176512932"/>
            <w:r w:rsidRPr="0050122D">
              <w:rPr>
                <w:rFonts w:ascii="Times New Roman" w:eastAsia="Calibri" w:hAnsi="Times New Roman" w:cs="Times New Roman"/>
                <w:sz w:val="24"/>
                <w:szCs w:val="24"/>
              </w:rPr>
              <w:t>139</w:t>
            </w:r>
            <w:bookmarkEnd w:id="66"/>
          </w:p>
        </w:tc>
        <w:tc>
          <w:tcPr>
            <w:tcW w:w="924" w:type="pct"/>
          </w:tcPr>
          <w:p w14:paraId="50721F4D" w14:textId="77777777" w:rsidR="0050122D" w:rsidRPr="0050122D" w:rsidRDefault="0050122D" w:rsidP="0050122D">
            <w:pPr>
              <w:spacing w:before="60" w:after="60"/>
              <w:rPr>
                <w:rFonts w:ascii="Times New Roman" w:eastAsia="Calibri" w:hAnsi="Times New Roman" w:cs="Times New Roman"/>
                <w:sz w:val="24"/>
                <w:szCs w:val="24"/>
              </w:rPr>
            </w:pPr>
            <w:bookmarkStart w:id="67" w:name="_Hlk174912830"/>
            <w:r w:rsidRPr="0050122D">
              <w:rPr>
                <w:rFonts w:ascii="Times New Roman" w:eastAsia="Calibri" w:hAnsi="Times New Roman" w:cs="Times New Roman"/>
                <w:sz w:val="24"/>
                <w:szCs w:val="24"/>
              </w:rPr>
              <w:t>0.232</w:t>
            </w:r>
            <w:bookmarkEnd w:id="67"/>
          </w:p>
        </w:tc>
      </w:tr>
      <w:tr w:rsidR="0050122D" w:rsidRPr="0050122D" w14:paraId="48AD38C2" w14:textId="77777777" w:rsidTr="0043536F">
        <w:trPr>
          <w:trHeight w:val="305"/>
        </w:trPr>
        <w:tc>
          <w:tcPr>
            <w:tcW w:w="1079" w:type="pct"/>
          </w:tcPr>
          <w:p w14:paraId="1B5460F7"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0.50</w:t>
            </w:r>
          </w:p>
        </w:tc>
        <w:tc>
          <w:tcPr>
            <w:tcW w:w="999" w:type="pct"/>
          </w:tcPr>
          <w:p w14:paraId="0F18988F" w14:textId="77777777" w:rsidR="0050122D" w:rsidRPr="0050122D" w:rsidRDefault="0050122D" w:rsidP="0050122D">
            <w:pPr>
              <w:spacing w:before="60" w:after="60"/>
              <w:rPr>
                <w:rFonts w:ascii="Times New Roman" w:eastAsia="Calibri" w:hAnsi="Times New Roman" w:cs="Times New Roman"/>
                <w:sz w:val="24"/>
                <w:szCs w:val="24"/>
              </w:rPr>
            </w:pPr>
            <w:bookmarkStart w:id="68" w:name="_Hlk174912282"/>
            <w:bookmarkEnd w:id="68"/>
            <w:r w:rsidRPr="0050122D">
              <w:rPr>
                <w:rFonts w:ascii="Times New Roman" w:eastAsia="Calibri" w:hAnsi="Times New Roman" w:cs="Times New Roman"/>
                <w:sz w:val="24"/>
                <w:szCs w:val="24"/>
              </w:rPr>
              <w:t>0.015**</w:t>
            </w:r>
          </w:p>
        </w:tc>
        <w:tc>
          <w:tcPr>
            <w:tcW w:w="999" w:type="pct"/>
          </w:tcPr>
          <w:p w14:paraId="3DA15B99"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99" w:type="pct"/>
          </w:tcPr>
          <w:p w14:paraId="7243D884"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0.001***</w:t>
            </w:r>
          </w:p>
        </w:tc>
        <w:tc>
          <w:tcPr>
            <w:tcW w:w="924" w:type="pct"/>
          </w:tcPr>
          <w:p w14:paraId="2FD63B49"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 xml:space="preserve">0.369 </w:t>
            </w:r>
          </w:p>
        </w:tc>
      </w:tr>
      <w:tr w:rsidR="0050122D" w:rsidRPr="0050122D" w14:paraId="477E6125" w14:textId="77777777" w:rsidTr="0043536F">
        <w:trPr>
          <w:trHeight w:val="296"/>
        </w:trPr>
        <w:tc>
          <w:tcPr>
            <w:tcW w:w="1079" w:type="pct"/>
          </w:tcPr>
          <w:p w14:paraId="38675121"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0.60</w:t>
            </w:r>
          </w:p>
        </w:tc>
        <w:tc>
          <w:tcPr>
            <w:tcW w:w="999" w:type="pct"/>
          </w:tcPr>
          <w:p w14:paraId="6EA032FB" w14:textId="77777777" w:rsidR="0050122D" w:rsidRPr="0050122D" w:rsidRDefault="0050122D" w:rsidP="0050122D">
            <w:pPr>
              <w:spacing w:before="60" w:after="60"/>
              <w:rPr>
                <w:rFonts w:ascii="Times New Roman" w:eastAsia="Calibri" w:hAnsi="Times New Roman" w:cs="Times New Roman"/>
                <w:sz w:val="24"/>
                <w:szCs w:val="24"/>
              </w:rPr>
            </w:pPr>
            <w:bookmarkStart w:id="69" w:name="_Hlk174912312"/>
            <w:bookmarkEnd w:id="69"/>
            <w:r w:rsidRPr="0050122D">
              <w:rPr>
                <w:rFonts w:ascii="Times New Roman" w:eastAsia="Calibri" w:hAnsi="Times New Roman" w:cs="Times New Roman"/>
                <w:sz w:val="24"/>
                <w:szCs w:val="24"/>
              </w:rPr>
              <w:t>0.000***</w:t>
            </w:r>
          </w:p>
        </w:tc>
        <w:tc>
          <w:tcPr>
            <w:tcW w:w="999" w:type="pct"/>
          </w:tcPr>
          <w:p w14:paraId="12D0B8C7"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0.004***</w:t>
            </w:r>
          </w:p>
        </w:tc>
        <w:tc>
          <w:tcPr>
            <w:tcW w:w="999" w:type="pct"/>
          </w:tcPr>
          <w:p w14:paraId="6C4D6BDA"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24" w:type="pct"/>
          </w:tcPr>
          <w:p w14:paraId="712F87EC" w14:textId="77777777" w:rsidR="0050122D" w:rsidRPr="0050122D" w:rsidRDefault="0050122D" w:rsidP="0050122D">
            <w:pPr>
              <w:spacing w:before="60" w:after="60"/>
              <w:rPr>
                <w:rFonts w:ascii="Times New Roman" w:eastAsia="Calibri" w:hAnsi="Times New Roman" w:cs="Times New Roman"/>
                <w:sz w:val="24"/>
                <w:szCs w:val="24"/>
              </w:rPr>
            </w:pPr>
            <w:bookmarkStart w:id="70" w:name="_Hlk174912877"/>
            <w:r w:rsidRPr="0050122D">
              <w:rPr>
                <w:rFonts w:ascii="Times New Roman" w:eastAsia="Calibri" w:hAnsi="Times New Roman" w:cs="Times New Roman"/>
                <w:sz w:val="24"/>
                <w:szCs w:val="24"/>
              </w:rPr>
              <w:t xml:space="preserve">0.357       </w:t>
            </w:r>
            <w:bookmarkEnd w:id="70"/>
          </w:p>
        </w:tc>
      </w:tr>
      <w:tr w:rsidR="0050122D" w:rsidRPr="0050122D" w14:paraId="575CE46A" w14:textId="77777777" w:rsidTr="0043536F">
        <w:trPr>
          <w:trHeight w:val="273"/>
        </w:trPr>
        <w:tc>
          <w:tcPr>
            <w:tcW w:w="1079" w:type="pct"/>
          </w:tcPr>
          <w:p w14:paraId="56619E62"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0.75</w:t>
            </w:r>
          </w:p>
        </w:tc>
        <w:tc>
          <w:tcPr>
            <w:tcW w:w="999" w:type="pct"/>
          </w:tcPr>
          <w:p w14:paraId="7A05FC8D"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0.001***</w:t>
            </w:r>
          </w:p>
        </w:tc>
        <w:tc>
          <w:tcPr>
            <w:tcW w:w="999" w:type="pct"/>
          </w:tcPr>
          <w:p w14:paraId="52B69D17"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0.013**</w:t>
            </w:r>
          </w:p>
        </w:tc>
        <w:tc>
          <w:tcPr>
            <w:tcW w:w="999" w:type="pct"/>
          </w:tcPr>
          <w:p w14:paraId="42B55C8A"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24" w:type="pct"/>
          </w:tcPr>
          <w:p w14:paraId="42ABE42A"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 xml:space="preserve">0.783       </w:t>
            </w:r>
          </w:p>
        </w:tc>
      </w:tr>
      <w:tr w:rsidR="0050122D" w:rsidRPr="0050122D" w14:paraId="61E9810E" w14:textId="77777777" w:rsidTr="0043536F">
        <w:trPr>
          <w:trHeight w:val="269"/>
        </w:trPr>
        <w:tc>
          <w:tcPr>
            <w:tcW w:w="1079" w:type="pct"/>
          </w:tcPr>
          <w:p w14:paraId="21B3A973"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0.90</w:t>
            </w:r>
          </w:p>
        </w:tc>
        <w:tc>
          <w:tcPr>
            <w:tcW w:w="999" w:type="pct"/>
          </w:tcPr>
          <w:p w14:paraId="04786CAF"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0.001***</w:t>
            </w:r>
          </w:p>
        </w:tc>
        <w:tc>
          <w:tcPr>
            <w:tcW w:w="999" w:type="pct"/>
          </w:tcPr>
          <w:p w14:paraId="1AEE2921"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0.013**</w:t>
            </w:r>
          </w:p>
        </w:tc>
        <w:tc>
          <w:tcPr>
            <w:tcW w:w="999" w:type="pct"/>
          </w:tcPr>
          <w:p w14:paraId="3DAC8944"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24" w:type="pct"/>
          </w:tcPr>
          <w:p w14:paraId="1F1ACAF9"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 xml:space="preserve">0.783  </w:t>
            </w:r>
          </w:p>
        </w:tc>
      </w:tr>
      <w:tr w:rsidR="0050122D" w:rsidRPr="0050122D" w14:paraId="74B43B64" w14:textId="77777777" w:rsidTr="0043536F">
        <w:trPr>
          <w:trHeight w:val="269"/>
        </w:trPr>
        <w:tc>
          <w:tcPr>
            <w:tcW w:w="5000" w:type="pct"/>
            <w:gridSpan w:val="5"/>
          </w:tcPr>
          <w:p w14:paraId="5608E4AE" w14:textId="77777777" w:rsidR="0050122D" w:rsidRPr="0050122D" w:rsidRDefault="0050122D" w:rsidP="0050122D">
            <w:pPr>
              <w:spacing w:before="60" w:after="60"/>
              <w:jc w:val="both"/>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10% level</w:t>
            </w:r>
          </w:p>
          <w:p w14:paraId="2E39C4F3" w14:textId="77777777" w:rsidR="0050122D" w:rsidRPr="0050122D" w:rsidRDefault="0050122D" w:rsidP="0050122D">
            <w:pPr>
              <w:spacing w:before="60" w:after="60"/>
              <w:jc w:val="both"/>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5% level</w:t>
            </w:r>
          </w:p>
          <w:p w14:paraId="79455AAB"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 level</w:t>
            </w:r>
          </w:p>
        </w:tc>
      </w:tr>
    </w:tbl>
    <w:p w14:paraId="41577379" w14:textId="77777777" w:rsidR="0050122D" w:rsidRPr="0050122D" w:rsidRDefault="0050122D" w:rsidP="0050122D">
      <w:pPr>
        <w:spacing w:before="60" w:after="240" w:line="360" w:lineRule="auto"/>
        <w:rPr>
          <w:rFonts w:ascii="Times New Roman" w:eastAsia="Times New Roman" w:hAnsi="Times New Roman" w:cs="Times New Roman"/>
          <w:i/>
          <w:kern w:val="0"/>
          <w:sz w:val="24"/>
          <w:szCs w:val="24"/>
          <w14:ligatures w14:val="none"/>
        </w:rPr>
      </w:pPr>
      <w:r w:rsidRPr="0050122D">
        <w:rPr>
          <w:rFonts w:ascii="Times New Roman" w:eastAsia="Times New Roman" w:hAnsi="Times New Roman" w:cs="Times New Roman"/>
          <w:i/>
          <w:kern w:val="0"/>
          <w:sz w:val="24"/>
          <w:szCs w:val="24"/>
          <w14:ligatures w14:val="none"/>
        </w:rPr>
        <w:t xml:space="preserve">   Source: Author’s computation using STATA 17</w:t>
      </w:r>
    </w:p>
    <w:p w14:paraId="52F5C472" w14:textId="77777777" w:rsidR="0050122D" w:rsidRPr="0050122D" w:rsidRDefault="0050122D" w:rsidP="0050122D">
      <w:pPr>
        <w:spacing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However, Table 2 indicates that unemployment is not stationary at quantiles 0.50 and 0.60. Table 2 indicates that unemployment is not stationary in both quantiles 0.75 and 0.90. </w:t>
      </w:r>
    </w:p>
    <w:p w14:paraId="397E1AF0" w14:textId="77777777" w:rsidR="0050122D" w:rsidRPr="0050122D" w:rsidRDefault="0050122D" w:rsidP="0050122D">
      <w:pPr>
        <w:spacing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14:ligatures w14:val="none"/>
        </w:rPr>
        <w:t>In conclusion, in Table 2, some of the variables of interest in this study are not stationary across some of the quantiles, while other variables are stationary in some quantiles. This study continued to check the stationarity of the non-stationary variables at specific quantiles at level. The QADF</w:t>
      </w:r>
      <w:r w:rsidRPr="0050122D">
        <w:rPr>
          <w:rFonts w:ascii="Times New Roman" w:eastAsia="Times New Roman" w:hAnsi="Times New Roman" w:cs="Times New Roman"/>
          <w:kern w:val="0"/>
          <w:sz w:val="24"/>
          <w:szCs w:val="24"/>
          <w:lang w:eastAsia="en-ZA"/>
          <w14:ligatures w14:val="none"/>
        </w:rPr>
        <w:t xml:space="preserve"> unit root test at</w:t>
      </w:r>
      <w:r w:rsidRPr="0050122D">
        <w:rPr>
          <w:rFonts w:ascii="Times New Roman" w:eastAsia="Times New Roman" w:hAnsi="Times New Roman" w:cs="Times New Roman"/>
          <w:kern w:val="0"/>
          <w:sz w:val="24"/>
          <w:szCs w:val="24"/>
          <w14:ligatures w14:val="none"/>
        </w:rPr>
        <w:t xml:space="preserve"> first difference</w:t>
      </w:r>
      <w:r w:rsidRPr="0050122D">
        <w:rPr>
          <w:rFonts w:ascii="Times New Roman" w:eastAsia="Times New Roman" w:hAnsi="Times New Roman" w:cs="Times New Roman"/>
          <w:kern w:val="0"/>
          <w:sz w:val="24"/>
          <w:szCs w:val="24"/>
          <w:lang w:eastAsia="en-ZA"/>
          <w14:ligatures w14:val="none"/>
        </w:rPr>
        <w:t xml:space="preserve"> results are reported in Table 3. </w:t>
      </w:r>
    </w:p>
    <w:p w14:paraId="35DC34A4" w14:textId="77777777" w:rsidR="0050122D" w:rsidRPr="0050122D" w:rsidRDefault="0050122D" w:rsidP="0050122D">
      <w:pPr>
        <w:spacing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At quantiles 0.10 and 0.25, household consumption is not stationary, while pay as you earn tax, household disposable income and unemployment are only non-stationary at quantile 0.10 but stationary at quantile 0.25, as indicated in Table 3.</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Aptos" w:hAnsi="Times New Roman" w:cs="Times New Roman"/>
          <w:iCs/>
          <w:sz w:val="24"/>
          <w:szCs w:val="24"/>
        </w:rPr>
        <w:t xml:space="preserve">In the middle quantiles (0.40, 0.50 and 0.60), </w:t>
      </w:r>
      <w:bookmarkStart w:id="71" w:name="_Hlk176521187"/>
      <w:r w:rsidRPr="0050122D">
        <w:rPr>
          <w:rFonts w:ascii="Times New Roman" w:eastAsia="Aptos" w:hAnsi="Times New Roman" w:cs="Times New Roman"/>
          <w:iCs/>
          <w:sz w:val="24"/>
          <w:szCs w:val="24"/>
        </w:rPr>
        <w:t xml:space="preserve">household consumption, pay as you earn tax, household disposable income, and unemployment </w:t>
      </w:r>
      <w:bookmarkEnd w:id="71"/>
      <w:r w:rsidRPr="0050122D">
        <w:rPr>
          <w:rFonts w:ascii="Times New Roman" w:eastAsia="Aptos" w:hAnsi="Times New Roman" w:cs="Times New Roman"/>
          <w:iCs/>
          <w:sz w:val="24"/>
          <w:szCs w:val="24"/>
        </w:rPr>
        <w:t>are stationary, since their respective p-values are less than the 1% level of significance.</w:t>
      </w:r>
    </w:p>
    <w:p w14:paraId="5BDC4E0B"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bookmarkStart w:id="72" w:name="_Toc180325927"/>
      <w:bookmarkStart w:id="73" w:name="_Toc183626787"/>
      <w:r w:rsidRPr="0050122D">
        <w:rPr>
          <w:rFonts w:ascii="Times New Roman" w:eastAsia="Times New Roman" w:hAnsi="Times New Roman" w:cs="Times New Roman"/>
          <w:b/>
          <w:bCs/>
          <w:kern w:val="0"/>
          <w:sz w:val="24"/>
          <w:szCs w:val="24"/>
          <w14:ligatures w14:val="none"/>
        </w:rPr>
        <w:t>Table 3: Quantile Augmented Dickey-Fuller test at first difference</w:t>
      </w:r>
      <w:bookmarkEnd w:id="72"/>
      <w:bookmarkEnd w:id="73"/>
      <w:r w:rsidRPr="0050122D">
        <w:rPr>
          <w:rFonts w:ascii="Times New Roman" w:eastAsia="Times New Roman" w:hAnsi="Times New Roman" w:cs="Times New Roman"/>
          <w:b/>
          <w:bCs/>
          <w:kern w:val="0"/>
          <w:sz w:val="24"/>
          <w:szCs w:val="24"/>
          <w14:ligatures w14:val="none"/>
        </w:rPr>
        <w:t xml:space="preserve"> </w:t>
      </w:r>
    </w:p>
    <w:tbl>
      <w:tblPr>
        <w:tblStyle w:val="TableGrid30"/>
        <w:tblW w:w="9356" w:type="dxa"/>
        <w:tblInd w:w="-5" w:type="dxa"/>
        <w:tblLayout w:type="fixed"/>
        <w:tblLook w:val="04A0" w:firstRow="1" w:lastRow="0" w:firstColumn="1" w:lastColumn="0" w:noHBand="0" w:noVBand="1"/>
      </w:tblPr>
      <w:tblGrid>
        <w:gridCol w:w="1701"/>
        <w:gridCol w:w="1843"/>
        <w:gridCol w:w="1843"/>
        <w:gridCol w:w="1984"/>
        <w:gridCol w:w="1985"/>
      </w:tblGrid>
      <w:tr w:rsidR="0050122D" w:rsidRPr="0050122D" w14:paraId="146F24BF" w14:textId="77777777" w:rsidTr="0043536F">
        <w:trPr>
          <w:trHeight w:val="372"/>
          <w:tblHeader/>
        </w:trPr>
        <w:tc>
          <w:tcPr>
            <w:tcW w:w="1701" w:type="dxa"/>
            <w:vMerge w:val="restart"/>
          </w:tcPr>
          <w:p w14:paraId="2DAAED5D" w14:textId="77777777" w:rsidR="0050122D" w:rsidRPr="0050122D" w:rsidRDefault="0050122D" w:rsidP="0050122D">
            <w:pPr>
              <w:spacing w:before="60" w:after="60"/>
              <w:rPr>
                <w:rFonts w:ascii="Times New Roman" w:eastAsia="Calibri" w:hAnsi="Times New Roman" w:cs="Times New Roman"/>
                <w:b/>
                <w:sz w:val="24"/>
                <w:szCs w:val="24"/>
              </w:rPr>
            </w:pPr>
            <w:r w:rsidRPr="0050122D">
              <w:rPr>
                <w:rFonts w:ascii="Times New Roman" w:eastAsia="Calibri" w:hAnsi="Times New Roman" w:cs="Times New Roman"/>
                <w:b/>
                <w:sz w:val="24"/>
                <w:szCs w:val="24"/>
              </w:rPr>
              <w:t>Quantiles</w:t>
            </w:r>
          </w:p>
        </w:tc>
        <w:tc>
          <w:tcPr>
            <w:tcW w:w="1843" w:type="dxa"/>
          </w:tcPr>
          <w:p w14:paraId="1160DBCF"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HC </w:t>
            </w:r>
          </w:p>
        </w:tc>
        <w:tc>
          <w:tcPr>
            <w:tcW w:w="1843" w:type="dxa"/>
          </w:tcPr>
          <w:p w14:paraId="4BDD5191"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PAYE</w:t>
            </w:r>
          </w:p>
        </w:tc>
        <w:tc>
          <w:tcPr>
            <w:tcW w:w="1984" w:type="dxa"/>
          </w:tcPr>
          <w:p w14:paraId="048EF874"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HDI</w:t>
            </w:r>
          </w:p>
        </w:tc>
        <w:tc>
          <w:tcPr>
            <w:tcW w:w="1985" w:type="dxa"/>
          </w:tcPr>
          <w:p w14:paraId="7BDE2645"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UER </w:t>
            </w:r>
          </w:p>
        </w:tc>
      </w:tr>
      <w:tr w:rsidR="0050122D" w:rsidRPr="0050122D" w14:paraId="743D7AE6" w14:textId="77777777" w:rsidTr="0043536F">
        <w:trPr>
          <w:trHeight w:val="302"/>
          <w:tblHeader/>
        </w:trPr>
        <w:tc>
          <w:tcPr>
            <w:tcW w:w="1701" w:type="dxa"/>
            <w:vMerge/>
          </w:tcPr>
          <w:p w14:paraId="06E17AA6" w14:textId="77777777" w:rsidR="0050122D" w:rsidRPr="0050122D" w:rsidRDefault="0050122D" w:rsidP="0050122D">
            <w:pPr>
              <w:spacing w:before="60" w:after="60"/>
              <w:jc w:val="center"/>
              <w:rPr>
                <w:rFonts w:ascii="Times New Roman" w:eastAsia="Calibri" w:hAnsi="Times New Roman" w:cs="Times New Roman"/>
                <w:b/>
                <w:sz w:val="24"/>
                <w:szCs w:val="24"/>
              </w:rPr>
            </w:pPr>
          </w:p>
        </w:tc>
        <w:tc>
          <w:tcPr>
            <w:tcW w:w="1843" w:type="dxa"/>
          </w:tcPr>
          <w:p w14:paraId="132ADBD1"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843" w:type="dxa"/>
          </w:tcPr>
          <w:p w14:paraId="6E3FAC87"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984" w:type="dxa"/>
          </w:tcPr>
          <w:p w14:paraId="1BCA9B73"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985" w:type="dxa"/>
          </w:tcPr>
          <w:p w14:paraId="46BA4D8A"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r>
      <w:tr w:rsidR="0050122D" w:rsidRPr="0050122D" w14:paraId="04584BA0" w14:textId="77777777" w:rsidTr="0043536F">
        <w:trPr>
          <w:trHeight w:val="302"/>
          <w:tblHeader/>
        </w:trPr>
        <w:tc>
          <w:tcPr>
            <w:tcW w:w="1701" w:type="dxa"/>
          </w:tcPr>
          <w:p w14:paraId="75A0CC9A" w14:textId="77777777" w:rsidR="0050122D" w:rsidRPr="0050122D" w:rsidRDefault="0050122D" w:rsidP="0050122D">
            <w:pPr>
              <w:spacing w:before="60" w:after="60"/>
              <w:jc w:val="center"/>
              <w:rPr>
                <w:rFonts w:ascii="Times New Roman" w:eastAsia="Calibri" w:hAnsi="Times New Roman" w:cs="Times New Roman"/>
                <w:b/>
                <w:sz w:val="24"/>
                <w:szCs w:val="24"/>
              </w:rPr>
            </w:pPr>
            <w:r w:rsidRPr="0050122D">
              <w:rPr>
                <w:rFonts w:ascii="Times New Roman" w:eastAsia="Calibri" w:hAnsi="Times New Roman" w:cs="Times New Roman"/>
                <w:sz w:val="24"/>
                <w:szCs w:val="24"/>
              </w:rPr>
              <w:t>0.10</w:t>
            </w:r>
          </w:p>
        </w:tc>
        <w:tc>
          <w:tcPr>
            <w:tcW w:w="1843" w:type="dxa"/>
          </w:tcPr>
          <w:p w14:paraId="34D6244F"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0.626</w:t>
            </w:r>
          </w:p>
        </w:tc>
        <w:tc>
          <w:tcPr>
            <w:tcW w:w="1843" w:type="dxa"/>
          </w:tcPr>
          <w:p w14:paraId="163BC7FD"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1.000</w:t>
            </w:r>
          </w:p>
        </w:tc>
        <w:tc>
          <w:tcPr>
            <w:tcW w:w="1984" w:type="dxa"/>
          </w:tcPr>
          <w:p w14:paraId="0E73EDDC"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0.368</w:t>
            </w:r>
          </w:p>
        </w:tc>
        <w:tc>
          <w:tcPr>
            <w:tcW w:w="1985" w:type="dxa"/>
          </w:tcPr>
          <w:p w14:paraId="1078C633"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1.000</w:t>
            </w:r>
          </w:p>
        </w:tc>
      </w:tr>
      <w:tr w:rsidR="0050122D" w:rsidRPr="0050122D" w14:paraId="793263F7" w14:textId="77777777" w:rsidTr="0043536F">
        <w:trPr>
          <w:trHeight w:val="393"/>
        </w:trPr>
        <w:tc>
          <w:tcPr>
            <w:tcW w:w="1701" w:type="dxa"/>
          </w:tcPr>
          <w:p w14:paraId="4A59FC56"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0.25</w:t>
            </w:r>
          </w:p>
        </w:tc>
        <w:tc>
          <w:tcPr>
            <w:tcW w:w="1843" w:type="dxa"/>
          </w:tcPr>
          <w:p w14:paraId="79324675"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0.432</w:t>
            </w:r>
          </w:p>
        </w:tc>
        <w:tc>
          <w:tcPr>
            <w:tcW w:w="1843" w:type="dxa"/>
          </w:tcPr>
          <w:p w14:paraId="18C5E0D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4" w:type="dxa"/>
          </w:tcPr>
          <w:p w14:paraId="7A4EF543"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0.091*</w:t>
            </w:r>
          </w:p>
        </w:tc>
        <w:tc>
          <w:tcPr>
            <w:tcW w:w="1985" w:type="dxa"/>
          </w:tcPr>
          <w:p w14:paraId="4223F9C9"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74DD1D14" w14:textId="77777777" w:rsidTr="0043536F">
        <w:trPr>
          <w:trHeight w:val="414"/>
        </w:trPr>
        <w:tc>
          <w:tcPr>
            <w:tcW w:w="1701" w:type="dxa"/>
          </w:tcPr>
          <w:p w14:paraId="1D31F3AB"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0.40</w:t>
            </w:r>
          </w:p>
        </w:tc>
        <w:tc>
          <w:tcPr>
            <w:tcW w:w="1843" w:type="dxa"/>
          </w:tcPr>
          <w:p w14:paraId="205DA131"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843" w:type="dxa"/>
          </w:tcPr>
          <w:p w14:paraId="42FDA5E0"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4" w:type="dxa"/>
          </w:tcPr>
          <w:p w14:paraId="17D14A62"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985" w:type="dxa"/>
          </w:tcPr>
          <w:p w14:paraId="531F5A6E"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0A16E986" w14:textId="77777777" w:rsidTr="0043536F">
        <w:trPr>
          <w:trHeight w:val="406"/>
        </w:trPr>
        <w:tc>
          <w:tcPr>
            <w:tcW w:w="1701" w:type="dxa"/>
          </w:tcPr>
          <w:p w14:paraId="61B1706A"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0.50</w:t>
            </w:r>
          </w:p>
        </w:tc>
        <w:tc>
          <w:tcPr>
            <w:tcW w:w="1843" w:type="dxa"/>
          </w:tcPr>
          <w:p w14:paraId="6F327EED"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7F3C43ED"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4" w:type="dxa"/>
          </w:tcPr>
          <w:p w14:paraId="4606E8C9"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5" w:type="dxa"/>
          </w:tcPr>
          <w:p w14:paraId="121D5372"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41FC60AE" w14:textId="77777777" w:rsidTr="0043536F">
        <w:trPr>
          <w:trHeight w:val="283"/>
        </w:trPr>
        <w:tc>
          <w:tcPr>
            <w:tcW w:w="1701" w:type="dxa"/>
          </w:tcPr>
          <w:p w14:paraId="2C097A7F"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0.60</w:t>
            </w:r>
          </w:p>
        </w:tc>
        <w:tc>
          <w:tcPr>
            <w:tcW w:w="1843" w:type="dxa"/>
          </w:tcPr>
          <w:p w14:paraId="02AD1230"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449F69D1"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4" w:type="dxa"/>
          </w:tcPr>
          <w:p w14:paraId="32AB617A"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5" w:type="dxa"/>
          </w:tcPr>
          <w:p w14:paraId="73C75B09"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2EE9FB0F" w14:textId="77777777" w:rsidTr="0043536F">
        <w:trPr>
          <w:trHeight w:val="276"/>
        </w:trPr>
        <w:tc>
          <w:tcPr>
            <w:tcW w:w="1701" w:type="dxa"/>
          </w:tcPr>
          <w:p w14:paraId="0A15C928"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0.75</w:t>
            </w:r>
          </w:p>
        </w:tc>
        <w:tc>
          <w:tcPr>
            <w:tcW w:w="1843" w:type="dxa"/>
          </w:tcPr>
          <w:p w14:paraId="00D2C420"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30BAA2C5"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4" w:type="dxa"/>
          </w:tcPr>
          <w:p w14:paraId="03031A51"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5" w:type="dxa"/>
          </w:tcPr>
          <w:p w14:paraId="29153DA0"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73B2251A" w14:textId="77777777" w:rsidTr="0043536F">
        <w:trPr>
          <w:trHeight w:val="296"/>
        </w:trPr>
        <w:tc>
          <w:tcPr>
            <w:tcW w:w="1701" w:type="dxa"/>
          </w:tcPr>
          <w:p w14:paraId="61512BB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0.90</w:t>
            </w:r>
          </w:p>
        </w:tc>
        <w:tc>
          <w:tcPr>
            <w:tcW w:w="1843" w:type="dxa"/>
          </w:tcPr>
          <w:p w14:paraId="020671E6"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4C4C23B9"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4" w:type="dxa"/>
          </w:tcPr>
          <w:p w14:paraId="20035FA1"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985" w:type="dxa"/>
          </w:tcPr>
          <w:p w14:paraId="3C7871CA"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38CBD612" w14:textId="77777777" w:rsidTr="0043536F">
        <w:trPr>
          <w:trHeight w:val="296"/>
        </w:trPr>
        <w:tc>
          <w:tcPr>
            <w:tcW w:w="9356" w:type="dxa"/>
            <w:gridSpan w:val="5"/>
          </w:tcPr>
          <w:p w14:paraId="144644AB"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10% level</w:t>
            </w:r>
          </w:p>
          <w:p w14:paraId="66C50F16"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5% level</w:t>
            </w:r>
          </w:p>
          <w:p w14:paraId="30E0BD53"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 level</w:t>
            </w:r>
          </w:p>
        </w:tc>
      </w:tr>
    </w:tbl>
    <w:p w14:paraId="7EE03DDD" w14:textId="77777777" w:rsidR="0050122D" w:rsidRPr="0050122D" w:rsidRDefault="0050122D" w:rsidP="0050122D">
      <w:pPr>
        <w:spacing w:before="60" w:after="240" w:line="360" w:lineRule="auto"/>
        <w:rPr>
          <w:rFonts w:ascii="Times New Roman" w:eastAsia="Times New Roman" w:hAnsi="Times New Roman" w:cs="Times New Roman"/>
          <w:b/>
          <w:bCs/>
          <w:i/>
          <w:kern w:val="0"/>
          <w:sz w:val="24"/>
          <w:szCs w:val="24"/>
          <w14:ligatures w14:val="none"/>
        </w:rPr>
      </w:pPr>
      <w:r w:rsidRPr="0050122D">
        <w:rPr>
          <w:rFonts w:ascii="Times New Roman" w:eastAsia="Times New Roman" w:hAnsi="Times New Roman" w:cs="Times New Roman"/>
          <w:i/>
          <w:kern w:val="0"/>
          <w:sz w:val="24"/>
          <w:szCs w:val="24"/>
          <w:lang w:eastAsia="en-ZA"/>
          <w14:ligatures w14:val="none"/>
        </w:rPr>
        <w:t>Source: Author’s computation</w:t>
      </w:r>
      <w:r w:rsidRPr="0050122D">
        <w:rPr>
          <w:rFonts w:ascii="Times New Roman" w:eastAsia="Times New Roman" w:hAnsi="Times New Roman" w:cs="Times New Roman"/>
          <w:i/>
          <w:noProof/>
          <w:kern w:val="0"/>
          <w:sz w:val="24"/>
          <w:szCs w:val="24"/>
          <w14:ligatures w14:val="none"/>
        </w:rPr>
        <w:t xml:space="preserve"> using STATA 17</w:t>
      </w:r>
    </w:p>
    <w:p w14:paraId="7BB23281" w14:textId="77777777" w:rsidR="0050122D" w:rsidRPr="0050122D" w:rsidRDefault="0050122D" w:rsidP="0050122D">
      <w:pPr>
        <w:spacing w:line="360" w:lineRule="auto"/>
        <w:jc w:val="both"/>
        <w:rPr>
          <w:rFonts w:ascii="Times New Roman" w:eastAsia="Times New Roman" w:hAnsi="Times New Roman" w:cs="Times New Roman"/>
          <w:kern w:val="0"/>
          <w:sz w:val="24"/>
          <w:szCs w:val="24"/>
          <w14:ligatures w14:val="none"/>
        </w:rPr>
      </w:pPr>
      <w:r w:rsidRPr="0050122D">
        <w:rPr>
          <w:rFonts w:ascii="Times New Roman" w:eastAsia="Aptos" w:hAnsi="Times New Roman" w:cs="Times New Roman"/>
          <w:iCs/>
          <w:sz w:val="24"/>
          <w:szCs w:val="24"/>
        </w:rPr>
        <w:t>In the upper quantiles, it is noted that household consumption, pay as you earn tax, household disposable income, and unemployment have a p-value of 0%, which is less than the 1% significance level. This means that the variables are all stationary at the upper quantiles, as demonstrated in Table 3.</w:t>
      </w:r>
      <w:r w:rsidRPr="0050122D">
        <w:rPr>
          <w:rFonts w:ascii="Times New Roman" w:eastAsia="Times New Roman" w:hAnsi="Times New Roman" w:cs="Times New Roman"/>
          <w:b/>
          <w:bCs/>
          <w:kern w:val="0"/>
          <w:sz w:val="24"/>
          <w:szCs w:val="24"/>
          <w14:ligatures w14:val="none"/>
        </w:rPr>
        <w:t xml:space="preserve"> </w:t>
      </w:r>
      <w:r w:rsidRPr="0050122D">
        <w:rPr>
          <w:rFonts w:ascii="Times New Roman" w:eastAsia="Times New Roman" w:hAnsi="Times New Roman" w:cs="Times New Roman"/>
          <w:kern w:val="0"/>
          <w:sz w:val="24"/>
          <w:szCs w:val="24"/>
          <w14:ligatures w14:val="none"/>
        </w:rPr>
        <w:t>The results of quantile Phillips-Perron test</w:t>
      </w:r>
      <w:r w:rsidRPr="0050122D">
        <w:rPr>
          <w:rFonts w:ascii="Times New Roman" w:eastAsia="Calibri" w:hAnsi="Times New Roman" w:cs="Times New Roman"/>
          <w:kern w:val="0"/>
          <w:sz w:val="24"/>
          <w:szCs w:val="24"/>
          <w14:ligatures w14:val="none"/>
        </w:rPr>
        <w:t xml:space="preserve"> at level are presented in Table 4.</w:t>
      </w:r>
      <w:r w:rsidRPr="0050122D">
        <w:rPr>
          <w:rFonts w:ascii="Times New Roman" w:eastAsia="Calibri" w:hAnsi="Times New Roman" w:cs="Times New Roman"/>
          <w:b/>
          <w:kern w:val="0"/>
          <w:sz w:val="24"/>
          <w:szCs w:val="24"/>
          <w14:ligatures w14:val="none"/>
        </w:rPr>
        <w:t xml:space="preserve"> </w:t>
      </w:r>
    </w:p>
    <w:p w14:paraId="7E487C5D" w14:textId="77777777" w:rsidR="0050122D" w:rsidRPr="0050122D" w:rsidRDefault="0050122D" w:rsidP="0050122D">
      <w:pPr>
        <w:keepNext/>
        <w:spacing w:after="0" w:line="360" w:lineRule="auto"/>
        <w:rPr>
          <w:rFonts w:ascii="Times New Roman" w:eastAsia="Times New Roman" w:hAnsi="Times New Roman" w:cs="Times New Roman"/>
          <w:b/>
          <w:bCs/>
          <w:kern w:val="0"/>
          <w:sz w:val="24"/>
          <w:szCs w:val="24"/>
          <w14:ligatures w14:val="none"/>
        </w:rPr>
      </w:pPr>
      <w:bookmarkStart w:id="74" w:name="_Toc183626788"/>
      <w:r w:rsidRPr="0050122D">
        <w:rPr>
          <w:rFonts w:ascii="Times New Roman" w:eastAsia="Times New Roman" w:hAnsi="Times New Roman" w:cs="Times New Roman"/>
          <w:b/>
          <w:bCs/>
          <w:kern w:val="0"/>
          <w:sz w:val="24"/>
          <w:szCs w:val="24"/>
          <w14:ligatures w14:val="none"/>
        </w:rPr>
        <w:t>Table 4: Quantile Phillips-Perron test at level</w:t>
      </w:r>
      <w:bookmarkEnd w:id="74"/>
    </w:p>
    <w:tbl>
      <w:tblPr>
        <w:tblStyle w:val="TableGrid30"/>
        <w:tblW w:w="5000" w:type="pct"/>
        <w:tblLook w:val="04A0" w:firstRow="1" w:lastRow="0" w:firstColumn="1" w:lastColumn="0" w:noHBand="0" w:noVBand="1"/>
      </w:tblPr>
      <w:tblGrid>
        <w:gridCol w:w="1693"/>
        <w:gridCol w:w="1845"/>
        <w:gridCol w:w="1985"/>
        <w:gridCol w:w="1843"/>
        <w:gridCol w:w="1979"/>
      </w:tblGrid>
      <w:tr w:rsidR="0050122D" w:rsidRPr="0050122D" w14:paraId="7819357D" w14:textId="77777777" w:rsidTr="0043536F">
        <w:trPr>
          <w:trHeight w:val="372"/>
          <w:tblHeader/>
        </w:trPr>
        <w:tc>
          <w:tcPr>
            <w:tcW w:w="906" w:type="pct"/>
            <w:vMerge w:val="restart"/>
          </w:tcPr>
          <w:p w14:paraId="3DD80594" w14:textId="77777777" w:rsidR="0050122D" w:rsidRPr="0050122D" w:rsidRDefault="0050122D" w:rsidP="0050122D">
            <w:pPr>
              <w:spacing w:after="60"/>
              <w:rPr>
                <w:rFonts w:ascii="Times New Roman" w:eastAsia="Calibri" w:hAnsi="Times New Roman" w:cs="Times New Roman"/>
                <w:b/>
                <w:sz w:val="24"/>
                <w:szCs w:val="24"/>
              </w:rPr>
            </w:pPr>
            <w:r w:rsidRPr="0050122D">
              <w:rPr>
                <w:rFonts w:ascii="Times New Roman" w:eastAsia="Calibri" w:hAnsi="Times New Roman" w:cs="Times New Roman"/>
                <w:b/>
                <w:sz w:val="24"/>
                <w:szCs w:val="24"/>
              </w:rPr>
              <w:t>Quantiles</w:t>
            </w:r>
          </w:p>
        </w:tc>
        <w:tc>
          <w:tcPr>
            <w:tcW w:w="987" w:type="pct"/>
          </w:tcPr>
          <w:p w14:paraId="235ADA1B" w14:textId="77777777" w:rsidR="0050122D" w:rsidRPr="0050122D" w:rsidRDefault="0050122D" w:rsidP="0050122D">
            <w:pPr>
              <w:spacing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HC </w:t>
            </w:r>
          </w:p>
        </w:tc>
        <w:tc>
          <w:tcPr>
            <w:tcW w:w="1062" w:type="pct"/>
          </w:tcPr>
          <w:p w14:paraId="6F6E0164" w14:textId="77777777" w:rsidR="0050122D" w:rsidRPr="0050122D" w:rsidRDefault="0050122D" w:rsidP="0050122D">
            <w:pPr>
              <w:spacing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PAYE</w:t>
            </w:r>
          </w:p>
        </w:tc>
        <w:tc>
          <w:tcPr>
            <w:tcW w:w="986" w:type="pct"/>
          </w:tcPr>
          <w:p w14:paraId="6A385362" w14:textId="77777777" w:rsidR="0050122D" w:rsidRPr="0050122D" w:rsidRDefault="0050122D" w:rsidP="0050122D">
            <w:pPr>
              <w:spacing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HDI</w:t>
            </w:r>
          </w:p>
        </w:tc>
        <w:tc>
          <w:tcPr>
            <w:tcW w:w="1059" w:type="pct"/>
          </w:tcPr>
          <w:p w14:paraId="0DE3D2C3" w14:textId="77777777" w:rsidR="0050122D" w:rsidRPr="0050122D" w:rsidRDefault="0050122D" w:rsidP="0050122D">
            <w:pPr>
              <w:spacing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UER </w:t>
            </w:r>
          </w:p>
        </w:tc>
      </w:tr>
      <w:tr w:rsidR="0050122D" w:rsidRPr="0050122D" w14:paraId="66890C07" w14:textId="77777777" w:rsidTr="0043536F">
        <w:trPr>
          <w:trHeight w:val="302"/>
          <w:tblHeader/>
        </w:trPr>
        <w:tc>
          <w:tcPr>
            <w:tcW w:w="906" w:type="pct"/>
            <w:vMerge/>
          </w:tcPr>
          <w:p w14:paraId="7A25F484" w14:textId="77777777" w:rsidR="0050122D" w:rsidRPr="0050122D" w:rsidRDefault="0050122D" w:rsidP="0050122D">
            <w:pPr>
              <w:spacing w:after="60"/>
              <w:jc w:val="center"/>
              <w:rPr>
                <w:rFonts w:ascii="Times New Roman" w:eastAsia="Calibri" w:hAnsi="Times New Roman" w:cs="Times New Roman"/>
                <w:b/>
                <w:sz w:val="24"/>
                <w:szCs w:val="24"/>
              </w:rPr>
            </w:pPr>
          </w:p>
        </w:tc>
        <w:tc>
          <w:tcPr>
            <w:tcW w:w="987" w:type="pct"/>
          </w:tcPr>
          <w:p w14:paraId="1D2272C0"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062" w:type="pct"/>
          </w:tcPr>
          <w:p w14:paraId="4D9900E6"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986" w:type="pct"/>
          </w:tcPr>
          <w:p w14:paraId="01C44689"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059" w:type="pct"/>
          </w:tcPr>
          <w:p w14:paraId="61D2941D"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r>
      <w:tr w:rsidR="0050122D" w:rsidRPr="0050122D" w14:paraId="3C504089" w14:textId="77777777" w:rsidTr="0043536F">
        <w:trPr>
          <w:trHeight w:val="302"/>
          <w:tblHeader/>
        </w:trPr>
        <w:tc>
          <w:tcPr>
            <w:tcW w:w="906" w:type="pct"/>
          </w:tcPr>
          <w:p w14:paraId="329F642D" w14:textId="77777777" w:rsidR="0050122D" w:rsidRPr="0050122D" w:rsidRDefault="0050122D" w:rsidP="0050122D">
            <w:pPr>
              <w:spacing w:after="60"/>
              <w:jc w:val="center"/>
              <w:rPr>
                <w:rFonts w:ascii="Times New Roman" w:eastAsia="Calibri" w:hAnsi="Times New Roman" w:cs="Times New Roman"/>
                <w:b/>
                <w:sz w:val="24"/>
                <w:szCs w:val="24"/>
              </w:rPr>
            </w:pPr>
            <w:r w:rsidRPr="0050122D">
              <w:rPr>
                <w:rFonts w:ascii="Times New Roman" w:eastAsia="Calibri" w:hAnsi="Times New Roman" w:cs="Times New Roman"/>
                <w:sz w:val="24"/>
                <w:szCs w:val="24"/>
              </w:rPr>
              <w:t>0.10</w:t>
            </w:r>
          </w:p>
        </w:tc>
        <w:tc>
          <w:tcPr>
            <w:tcW w:w="987" w:type="pct"/>
          </w:tcPr>
          <w:p w14:paraId="27D2E0F3"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0.996</w:t>
            </w:r>
          </w:p>
        </w:tc>
        <w:tc>
          <w:tcPr>
            <w:tcW w:w="1062" w:type="pct"/>
          </w:tcPr>
          <w:p w14:paraId="600C9282"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0.774</w:t>
            </w:r>
          </w:p>
        </w:tc>
        <w:tc>
          <w:tcPr>
            <w:tcW w:w="986" w:type="pct"/>
          </w:tcPr>
          <w:p w14:paraId="5D5D62F6"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0.992</w:t>
            </w:r>
          </w:p>
        </w:tc>
        <w:tc>
          <w:tcPr>
            <w:tcW w:w="1059" w:type="pct"/>
          </w:tcPr>
          <w:p w14:paraId="62AA5A1F"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0.692</w:t>
            </w:r>
          </w:p>
        </w:tc>
      </w:tr>
      <w:tr w:rsidR="0050122D" w:rsidRPr="0050122D" w14:paraId="000DFAD0" w14:textId="77777777" w:rsidTr="0043536F">
        <w:trPr>
          <w:trHeight w:val="335"/>
        </w:trPr>
        <w:tc>
          <w:tcPr>
            <w:tcW w:w="906" w:type="pct"/>
          </w:tcPr>
          <w:p w14:paraId="6DC8A979"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0.25</w:t>
            </w:r>
          </w:p>
        </w:tc>
        <w:tc>
          <w:tcPr>
            <w:tcW w:w="987" w:type="pct"/>
          </w:tcPr>
          <w:p w14:paraId="461A81C4"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0.498</w:t>
            </w:r>
          </w:p>
        </w:tc>
        <w:tc>
          <w:tcPr>
            <w:tcW w:w="1062" w:type="pct"/>
          </w:tcPr>
          <w:p w14:paraId="01F10AF5"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86" w:type="pct"/>
          </w:tcPr>
          <w:p w14:paraId="173E08D0"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0.909</w:t>
            </w:r>
          </w:p>
        </w:tc>
        <w:tc>
          <w:tcPr>
            <w:tcW w:w="1059" w:type="pct"/>
          </w:tcPr>
          <w:p w14:paraId="41E4C2B2"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0.508</w:t>
            </w:r>
          </w:p>
        </w:tc>
      </w:tr>
      <w:tr w:rsidR="0050122D" w:rsidRPr="0050122D" w14:paraId="6AB6DE01" w14:textId="77777777" w:rsidTr="0043536F">
        <w:trPr>
          <w:trHeight w:val="355"/>
        </w:trPr>
        <w:tc>
          <w:tcPr>
            <w:tcW w:w="906" w:type="pct"/>
          </w:tcPr>
          <w:p w14:paraId="335BB05D"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0.40</w:t>
            </w:r>
          </w:p>
        </w:tc>
        <w:tc>
          <w:tcPr>
            <w:tcW w:w="987" w:type="pct"/>
          </w:tcPr>
          <w:p w14:paraId="5F89BF78"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0.550</w:t>
            </w:r>
          </w:p>
        </w:tc>
        <w:tc>
          <w:tcPr>
            <w:tcW w:w="1062" w:type="pct"/>
          </w:tcPr>
          <w:p w14:paraId="42834459"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86" w:type="pct"/>
          </w:tcPr>
          <w:p w14:paraId="40E1D76F"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0.138</w:t>
            </w:r>
          </w:p>
        </w:tc>
        <w:tc>
          <w:tcPr>
            <w:tcW w:w="1059" w:type="pct"/>
          </w:tcPr>
          <w:p w14:paraId="331293A5"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0.232</w:t>
            </w:r>
          </w:p>
        </w:tc>
      </w:tr>
      <w:tr w:rsidR="0050122D" w:rsidRPr="0050122D" w14:paraId="4E3BD81A" w14:textId="77777777" w:rsidTr="0043536F">
        <w:trPr>
          <w:trHeight w:val="375"/>
        </w:trPr>
        <w:tc>
          <w:tcPr>
            <w:tcW w:w="906" w:type="pct"/>
          </w:tcPr>
          <w:p w14:paraId="046FCDFE"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0.50</w:t>
            </w:r>
          </w:p>
        </w:tc>
        <w:tc>
          <w:tcPr>
            <w:tcW w:w="987" w:type="pct"/>
          </w:tcPr>
          <w:p w14:paraId="503E45E4"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0.015**</w:t>
            </w:r>
          </w:p>
        </w:tc>
        <w:tc>
          <w:tcPr>
            <w:tcW w:w="1062" w:type="pct"/>
          </w:tcPr>
          <w:p w14:paraId="000C13A6"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986" w:type="pct"/>
          </w:tcPr>
          <w:p w14:paraId="6A5A7648"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0.001***</w:t>
            </w:r>
          </w:p>
        </w:tc>
        <w:tc>
          <w:tcPr>
            <w:tcW w:w="1059" w:type="pct"/>
          </w:tcPr>
          <w:p w14:paraId="2B78A417"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0.369</w:t>
            </w:r>
          </w:p>
        </w:tc>
      </w:tr>
      <w:tr w:rsidR="0050122D" w:rsidRPr="0050122D" w14:paraId="5B0D7C72" w14:textId="77777777" w:rsidTr="0043536F">
        <w:trPr>
          <w:trHeight w:val="395"/>
        </w:trPr>
        <w:tc>
          <w:tcPr>
            <w:tcW w:w="906" w:type="pct"/>
          </w:tcPr>
          <w:p w14:paraId="68DE3DCD"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0.60</w:t>
            </w:r>
          </w:p>
        </w:tc>
        <w:tc>
          <w:tcPr>
            <w:tcW w:w="987" w:type="pct"/>
          </w:tcPr>
          <w:p w14:paraId="30F5D1F1"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062" w:type="pct"/>
          </w:tcPr>
          <w:p w14:paraId="6183D6AD"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0.003***</w:t>
            </w:r>
          </w:p>
        </w:tc>
        <w:tc>
          <w:tcPr>
            <w:tcW w:w="986" w:type="pct"/>
          </w:tcPr>
          <w:p w14:paraId="19CF99AB"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059" w:type="pct"/>
          </w:tcPr>
          <w:p w14:paraId="4C470166"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0.357</w:t>
            </w:r>
          </w:p>
        </w:tc>
      </w:tr>
      <w:tr w:rsidR="0050122D" w:rsidRPr="0050122D" w14:paraId="584D0E81" w14:textId="77777777" w:rsidTr="0043536F">
        <w:trPr>
          <w:trHeight w:val="273"/>
        </w:trPr>
        <w:tc>
          <w:tcPr>
            <w:tcW w:w="906" w:type="pct"/>
          </w:tcPr>
          <w:p w14:paraId="2F6C0BD0"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0.75</w:t>
            </w:r>
          </w:p>
        </w:tc>
        <w:tc>
          <w:tcPr>
            <w:tcW w:w="987" w:type="pct"/>
          </w:tcPr>
          <w:p w14:paraId="5F0E01B4"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062" w:type="pct"/>
          </w:tcPr>
          <w:p w14:paraId="376439BF"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0.012**</w:t>
            </w:r>
          </w:p>
        </w:tc>
        <w:tc>
          <w:tcPr>
            <w:tcW w:w="986" w:type="pct"/>
          </w:tcPr>
          <w:p w14:paraId="1B0828AF"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059" w:type="pct"/>
          </w:tcPr>
          <w:p w14:paraId="230D8250"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0.783</w:t>
            </w:r>
          </w:p>
        </w:tc>
      </w:tr>
      <w:tr w:rsidR="0050122D" w:rsidRPr="0050122D" w14:paraId="628059DC" w14:textId="77777777" w:rsidTr="0043536F">
        <w:trPr>
          <w:trHeight w:val="279"/>
        </w:trPr>
        <w:tc>
          <w:tcPr>
            <w:tcW w:w="906" w:type="pct"/>
          </w:tcPr>
          <w:p w14:paraId="1F3243BB" w14:textId="77777777" w:rsidR="0050122D" w:rsidRPr="0050122D" w:rsidRDefault="0050122D" w:rsidP="0050122D">
            <w:pPr>
              <w:spacing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0.90</w:t>
            </w:r>
          </w:p>
        </w:tc>
        <w:tc>
          <w:tcPr>
            <w:tcW w:w="987" w:type="pct"/>
          </w:tcPr>
          <w:p w14:paraId="665D20BE"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062" w:type="pct"/>
          </w:tcPr>
          <w:p w14:paraId="1DBE01A0"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0.012**</w:t>
            </w:r>
          </w:p>
        </w:tc>
        <w:tc>
          <w:tcPr>
            <w:tcW w:w="986" w:type="pct"/>
          </w:tcPr>
          <w:p w14:paraId="1D51207B"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059" w:type="pct"/>
          </w:tcPr>
          <w:p w14:paraId="4C57E1DB"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0.783</w:t>
            </w:r>
          </w:p>
        </w:tc>
      </w:tr>
      <w:tr w:rsidR="0050122D" w:rsidRPr="0050122D" w14:paraId="7F0A3E41" w14:textId="77777777" w:rsidTr="0043536F">
        <w:trPr>
          <w:trHeight w:val="279"/>
        </w:trPr>
        <w:tc>
          <w:tcPr>
            <w:tcW w:w="5000" w:type="pct"/>
            <w:gridSpan w:val="5"/>
          </w:tcPr>
          <w:p w14:paraId="71043BD0" w14:textId="77777777" w:rsidR="0050122D" w:rsidRPr="0050122D" w:rsidRDefault="0050122D" w:rsidP="0050122D">
            <w:pPr>
              <w:spacing w:after="60"/>
              <w:jc w:val="both"/>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10% level</w:t>
            </w:r>
          </w:p>
          <w:p w14:paraId="4A77942C" w14:textId="77777777" w:rsidR="0050122D" w:rsidRPr="0050122D" w:rsidRDefault="0050122D" w:rsidP="0050122D">
            <w:pPr>
              <w:spacing w:after="60"/>
              <w:jc w:val="both"/>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5% level</w:t>
            </w:r>
          </w:p>
          <w:p w14:paraId="687C2E54" w14:textId="77777777" w:rsidR="0050122D" w:rsidRPr="0050122D" w:rsidRDefault="0050122D" w:rsidP="0050122D">
            <w:pPr>
              <w:spacing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 level</w:t>
            </w:r>
          </w:p>
        </w:tc>
      </w:tr>
    </w:tbl>
    <w:p w14:paraId="4703397A" w14:textId="77777777" w:rsidR="0050122D" w:rsidRPr="0050122D" w:rsidRDefault="0050122D" w:rsidP="0050122D">
      <w:pPr>
        <w:spacing w:after="240" w:line="360" w:lineRule="auto"/>
        <w:rPr>
          <w:rFonts w:ascii="Times New Roman" w:eastAsia="Times New Roman" w:hAnsi="Times New Roman" w:cs="Times New Roman"/>
          <w:i/>
          <w:noProof/>
          <w:kern w:val="0"/>
          <w:sz w:val="24"/>
          <w:szCs w:val="24"/>
          <w14:ligatures w14:val="none"/>
        </w:rPr>
      </w:pPr>
      <w:r w:rsidRPr="0050122D">
        <w:rPr>
          <w:rFonts w:ascii="Times New Roman" w:eastAsia="Times New Roman" w:hAnsi="Times New Roman" w:cs="Times New Roman"/>
          <w:i/>
          <w:noProof/>
          <w:kern w:val="0"/>
          <w:sz w:val="24"/>
          <w:szCs w:val="24"/>
          <w14:ligatures w14:val="none"/>
        </w:rPr>
        <w:t>Source: Author’s computation using STATA 17</w:t>
      </w:r>
    </w:p>
    <w:p w14:paraId="61C0CC85" w14:textId="77777777" w:rsidR="0050122D" w:rsidRPr="0050122D" w:rsidRDefault="0050122D" w:rsidP="0050122D">
      <w:pPr>
        <w:spacing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Table 4 indicates that in the lower quantiles, household consumption has a p-value of 99.6% at quantile 0.10, and a p-value of 49.8% at quantile 0.25, and pay as you earn tax has a p-value of 77.4% at quantile 0.10. Additionally, household disposable income has a p-value of 99.2% and 90.9%, and unemployment has a p-value of 69.2% and 50.8% in quantiles 0.10 and 0.25, respectively.</w:t>
      </w:r>
    </w:p>
    <w:p w14:paraId="3C72E3EE" w14:textId="77777777" w:rsidR="0050122D" w:rsidRPr="0050122D" w:rsidRDefault="0050122D" w:rsidP="0050122D">
      <w:pPr>
        <w:spacing w:after="240" w:line="360" w:lineRule="auto"/>
        <w:jc w:val="both"/>
        <w:rPr>
          <w:rFonts w:ascii="Times New Roman" w:eastAsia="Times New Roman" w:hAnsi="Times New Roman" w:cs="Times New Roman"/>
          <w:iCs/>
          <w:noProof/>
          <w:kern w:val="0"/>
          <w:sz w:val="24"/>
          <w:szCs w:val="24"/>
          <w14:ligatures w14:val="none"/>
        </w:rPr>
      </w:pPr>
      <w:r w:rsidRPr="0050122D">
        <w:rPr>
          <w:rFonts w:ascii="Times New Roman" w:eastAsia="Times New Roman" w:hAnsi="Times New Roman" w:cs="Times New Roman"/>
          <w:iCs/>
          <w:noProof/>
          <w:kern w:val="0"/>
          <w:sz w:val="24"/>
          <w:szCs w:val="24"/>
          <w14:ligatures w14:val="none"/>
        </w:rPr>
        <w:t xml:space="preserve">All the p-values of the variables of interest are greater than the 10% level of significance, which signifies that the series is not stationary at the specified lower quantiles. On the other hand, in Table 4, pay as you earn tax has a p-value of 0% at quantile 0.25. In the middle quantiles, the p-value of household consumption is 55% at quantile 0.40, household disposable income has a p-values of 13.8% at quantile 0.40, and unemployment is sitting with a p-value of 23.2%. It means that all the mentioned variables are not stationary at the 0.40 middle quantile, since the p-values are greater than the 10% level of significance. On the other hand, pay as you earn tax is stationary at quantile 0.40, with a p-value of 0%, which is less than the 1% significance level. </w:t>
      </w:r>
    </w:p>
    <w:p w14:paraId="1E9F0498" w14:textId="77777777" w:rsidR="0050122D" w:rsidRPr="0050122D" w:rsidRDefault="0050122D" w:rsidP="0050122D">
      <w:pPr>
        <w:spacing w:after="240" w:line="360" w:lineRule="auto"/>
        <w:jc w:val="both"/>
        <w:rPr>
          <w:rFonts w:ascii="Times New Roman" w:eastAsia="Times New Roman" w:hAnsi="Times New Roman" w:cs="Times New Roman"/>
          <w:iCs/>
          <w:noProof/>
          <w:kern w:val="0"/>
          <w:sz w:val="24"/>
          <w:szCs w:val="24"/>
          <w14:ligatures w14:val="none"/>
        </w:rPr>
      </w:pPr>
      <w:r w:rsidRPr="0050122D">
        <w:rPr>
          <w:rFonts w:ascii="Times New Roman" w:eastAsia="Times New Roman" w:hAnsi="Times New Roman" w:cs="Times New Roman"/>
          <w:iCs/>
          <w:noProof/>
          <w:kern w:val="0"/>
          <w:sz w:val="24"/>
          <w:szCs w:val="24"/>
          <w14:ligatures w14:val="none"/>
        </w:rPr>
        <w:t>At quantiles 0.50, and 0.60, household consumption, pay as you earn tax, and household disposable income are stationary, as presented in Table 4. However, Table 4 indicates that unemployment is not stationary at quantiles 0.50 and 0.60. Lastly, Table 4 indicates that in the upper quantiles, household consumption, pay as you earn tax, and household disposable income, are stationary at quantiles 0.75 and 0.90, while unemployment is not stationary in both quantiles 0.75 and 0.90. In summary, in Table 4 some of the variables of interest in this study are not stationary across some of the quantiles, while other variables are stationary in some quantiles. As presented in Table 4 below, this study estimated the QPP unit root test at first difference to check the stationarity of the non-stationary quantiles in Table 4.</w:t>
      </w:r>
    </w:p>
    <w:p w14:paraId="557FFA9B" w14:textId="77777777" w:rsidR="0050122D" w:rsidRPr="0050122D" w:rsidRDefault="0050122D" w:rsidP="0050122D">
      <w:pPr>
        <w:spacing w:after="240" w:line="360" w:lineRule="auto"/>
        <w:jc w:val="both"/>
        <w:rPr>
          <w:rFonts w:ascii="Times New Roman" w:eastAsia="Times New Roman" w:hAnsi="Times New Roman" w:cs="Times New Roman"/>
          <w:iCs/>
          <w:noProof/>
          <w:kern w:val="0"/>
          <w:sz w:val="24"/>
          <w:szCs w:val="24"/>
          <w14:ligatures w14:val="none"/>
        </w:rPr>
      </w:pPr>
      <w:r w:rsidRPr="0050122D">
        <w:rPr>
          <w:rFonts w:ascii="Times New Roman" w:eastAsia="Times New Roman" w:hAnsi="Times New Roman" w:cs="Times New Roman"/>
          <w:iCs/>
          <w:noProof/>
          <w:kern w:val="0"/>
          <w:sz w:val="24"/>
          <w:szCs w:val="24"/>
          <w14:ligatures w14:val="none"/>
        </w:rPr>
        <w:t>At quantiles 0.10 and 0.25, household consumption is stationary, while pay as you earn tax, household disposable income and unemployment are only non-stationary at quantile 0.10 but stationary at quantile 0.25, as indicated in Table 5. In the middle quantiles, household consumption, pay as you earn tax, household disposable income, and unemployment are stationary, since their respective p-values are less than the 1% level of significance. In the upper quantiles it is noted that household consumption, pay as you earn tax, household disposable income, and unemployment have a p-value of 0%, which is less than the 1% significance level. This means that the variables are all stationary at the middle and upper quantiles.</w:t>
      </w:r>
    </w:p>
    <w:p w14:paraId="29BDFFC6"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bookmarkStart w:id="75" w:name="_Toc180325929"/>
      <w:bookmarkStart w:id="76" w:name="_Toc183626789"/>
      <w:r w:rsidRPr="0050122D">
        <w:rPr>
          <w:rFonts w:ascii="Times New Roman" w:eastAsia="Times New Roman" w:hAnsi="Times New Roman" w:cs="Times New Roman"/>
          <w:b/>
          <w:bCs/>
          <w:kern w:val="0"/>
          <w:sz w:val="24"/>
          <w:szCs w:val="24"/>
          <w14:ligatures w14:val="none"/>
        </w:rPr>
        <w:t>Table 5: Quantile Phillips-Perron test at first difference</w:t>
      </w:r>
      <w:bookmarkEnd w:id="75"/>
      <w:bookmarkEnd w:id="76"/>
    </w:p>
    <w:tbl>
      <w:tblPr>
        <w:tblStyle w:val="TableGrid30"/>
        <w:tblW w:w="9214" w:type="dxa"/>
        <w:tblInd w:w="-5" w:type="dxa"/>
        <w:tblLayout w:type="fixed"/>
        <w:tblLook w:val="04A0" w:firstRow="1" w:lastRow="0" w:firstColumn="1" w:lastColumn="0" w:noHBand="0" w:noVBand="1"/>
      </w:tblPr>
      <w:tblGrid>
        <w:gridCol w:w="1843"/>
        <w:gridCol w:w="1985"/>
        <w:gridCol w:w="1842"/>
        <w:gridCol w:w="1843"/>
        <w:gridCol w:w="1701"/>
      </w:tblGrid>
      <w:tr w:rsidR="0050122D" w:rsidRPr="0050122D" w14:paraId="552066FC" w14:textId="77777777" w:rsidTr="0043536F">
        <w:trPr>
          <w:trHeight w:val="372"/>
          <w:tblHeader/>
        </w:trPr>
        <w:tc>
          <w:tcPr>
            <w:tcW w:w="1843" w:type="dxa"/>
            <w:vMerge w:val="restart"/>
          </w:tcPr>
          <w:p w14:paraId="790A253E" w14:textId="77777777" w:rsidR="0050122D" w:rsidRPr="0050122D" w:rsidRDefault="0050122D" w:rsidP="0050122D">
            <w:pPr>
              <w:spacing w:before="60" w:after="60"/>
              <w:rPr>
                <w:rFonts w:ascii="Times New Roman" w:eastAsia="Calibri" w:hAnsi="Times New Roman" w:cs="Times New Roman"/>
                <w:b/>
                <w:sz w:val="24"/>
                <w:szCs w:val="24"/>
              </w:rPr>
            </w:pPr>
            <w:r w:rsidRPr="0050122D">
              <w:rPr>
                <w:rFonts w:ascii="Times New Roman" w:eastAsia="Calibri" w:hAnsi="Times New Roman" w:cs="Times New Roman"/>
                <w:b/>
                <w:sz w:val="24"/>
                <w:szCs w:val="24"/>
              </w:rPr>
              <w:t>Quantiles</w:t>
            </w:r>
          </w:p>
        </w:tc>
        <w:tc>
          <w:tcPr>
            <w:tcW w:w="1985" w:type="dxa"/>
          </w:tcPr>
          <w:p w14:paraId="1543C552"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HC </w:t>
            </w:r>
          </w:p>
        </w:tc>
        <w:tc>
          <w:tcPr>
            <w:tcW w:w="1842" w:type="dxa"/>
          </w:tcPr>
          <w:p w14:paraId="63F58FC3"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PAYE</w:t>
            </w:r>
          </w:p>
        </w:tc>
        <w:tc>
          <w:tcPr>
            <w:tcW w:w="1843" w:type="dxa"/>
          </w:tcPr>
          <w:p w14:paraId="5E9915C9"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HDI</w:t>
            </w:r>
          </w:p>
        </w:tc>
        <w:tc>
          <w:tcPr>
            <w:tcW w:w="1701" w:type="dxa"/>
          </w:tcPr>
          <w:p w14:paraId="31E5BA14" w14:textId="77777777" w:rsidR="0050122D" w:rsidRPr="0050122D" w:rsidRDefault="0050122D" w:rsidP="0050122D">
            <w:pPr>
              <w:spacing w:before="60" w:after="60"/>
              <w:jc w:val="center"/>
              <w:rPr>
                <w:rFonts w:ascii="Times New Roman" w:eastAsia="Calibri" w:hAnsi="Times New Roman" w:cs="Times New Roman"/>
                <w:b/>
                <w:bCs/>
                <w:sz w:val="24"/>
                <w:szCs w:val="24"/>
              </w:rPr>
            </w:pPr>
            <w:r w:rsidRPr="0050122D">
              <w:rPr>
                <w:rFonts w:ascii="Times New Roman" w:eastAsia="Calibri" w:hAnsi="Times New Roman" w:cs="Times New Roman"/>
                <w:b/>
                <w:bCs/>
                <w:sz w:val="24"/>
                <w:szCs w:val="24"/>
              </w:rPr>
              <w:t xml:space="preserve">UER </w:t>
            </w:r>
          </w:p>
        </w:tc>
      </w:tr>
      <w:tr w:rsidR="0050122D" w:rsidRPr="0050122D" w14:paraId="0A952564" w14:textId="77777777" w:rsidTr="0043536F">
        <w:trPr>
          <w:trHeight w:val="302"/>
          <w:tblHeader/>
        </w:trPr>
        <w:tc>
          <w:tcPr>
            <w:tcW w:w="1843" w:type="dxa"/>
            <w:vMerge/>
          </w:tcPr>
          <w:p w14:paraId="571BA398" w14:textId="77777777" w:rsidR="0050122D" w:rsidRPr="0050122D" w:rsidRDefault="0050122D" w:rsidP="0050122D">
            <w:pPr>
              <w:spacing w:before="60" w:after="60"/>
              <w:jc w:val="center"/>
              <w:rPr>
                <w:rFonts w:ascii="Times New Roman" w:eastAsia="Calibri" w:hAnsi="Times New Roman" w:cs="Times New Roman"/>
                <w:b/>
                <w:sz w:val="24"/>
                <w:szCs w:val="24"/>
              </w:rPr>
            </w:pPr>
          </w:p>
        </w:tc>
        <w:tc>
          <w:tcPr>
            <w:tcW w:w="1985" w:type="dxa"/>
          </w:tcPr>
          <w:p w14:paraId="5A5FD416"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842" w:type="dxa"/>
          </w:tcPr>
          <w:p w14:paraId="29582FFA"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843" w:type="dxa"/>
          </w:tcPr>
          <w:p w14:paraId="37355772"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c>
          <w:tcPr>
            <w:tcW w:w="1701" w:type="dxa"/>
          </w:tcPr>
          <w:p w14:paraId="14689126"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Probability</w:t>
            </w:r>
          </w:p>
        </w:tc>
      </w:tr>
      <w:tr w:rsidR="0050122D" w:rsidRPr="0050122D" w14:paraId="4C4FB8AA" w14:textId="77777777" w:rsidTr="0043536F">
        <w:trPr>
          <w:trHeight w:val="302"/>
          <w:tblHeader/>
        </w:trPr>
        <w:tc>
          <w:tcPr>
            <w:tcW w:w="1843" w:type="dxa"/>
          </w:tcPr>
          <w:p w14:paraId="16C824DA" w14:textId="77777777" w:rsidR="0050122D" w:rsidRPr="0050122D" w:rsidRDefault="0050122D" w:rsidP="0050122D">
            <w:pPr>
              <w:spacing w:before="60" w:after="60"/>
              <w:jc w:val="center"/>
              <w:rPr>
                <w:rFonts w:ascii="Times New Roman" w:eastAsia="Calibri" w:hAnsi="Times New Roman" w:cs="Times New Roman"/>
                <w:b/>
                <w:sz w:val="24"/>
                <w:szCs w:val="24"/>
              </w:rPr>
            </w:pPr>
            <w:r w:rsidRPr="0050122D">
              <w:rPr>
                <w:rFonts w:ascii="Times New Roman" w:eastAsia="Calibri" w:hAnsi="Times New Roman" w:cs="Times New Roman"/>
                <w:sz w:val="24"/>
                <w:szCs w:val="24"/>
              </w:rPr>
              <w:t>0.10</w:t>
            </w:r>
          </w:p>
        </w:tc>
        <w:tc>
          <w:tcPr>
            <w:tcW w:w="1985" w:type="dxa"/>
          </w:tcPr>
          <w:p w14:paraId="173A8987"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0.626</w:t>
            </w:r>
          </w:p>
        </w:tc>
        <w:tc>
          <w:tcPr>
            <w:tcW w:w="1842" w:type="dxa"/>
          </w:tcPr>
          <w:p w14:paraId="3BBABAB6"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1.000</w:t>
            </w:r>
          </w:p>
        </w:tc>
        <w:tc>
          <w:tcPr>
            <w:tcW w:w="1843" w:type="dxa"/>
          </w:tcPr>
          <w:p w14:paraId="0599BA94"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0.367</w:t>
            </w:r>
          </w:p>
        </w:tc>
        <w:tc>
          <w:tcPr>
            <w:tcW w:w="1701" w:type="dxa"/>
          </w:tcPr>
          <w:p w14:paraId="759766CD"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1.000</w:t>
            </w:r>
          </w:p>
        </w:tc>
      </w:tr>
      <w:tr w:rsidR="0050122D" w:rsidRPr="0050122D" w14:paraId="1CC2A242" w14:textId="77777777" w:rsidTr="0043536F">
        <w:trPr>
          <w:trHeight w:val="329"/>
        </w:trPr>
        <w:tc>
          <w:tcPr>
            <w:tcW w:w="1843" w:type="dxa"/>
          </w:tcPr>
          <w:p w14:paraId="296C24B5"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0.25</w:t>
            </w:r>
          </w:p>
        </w:tc>
        <w:tc>
          <w:tcPr>
            <w:tcW w:w="1985" w:type="dxa"/>
          </w:tcPr>
          <w:p w14:paraId="34C8EA27"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0.431</w:t>
            </w:r>
          </w:p>
        </w:tc>
        <w:tc>
          <w:tcPr>
            <w:tcW w:w="1842" w:type="dxa"/>
          </w:tcPr>
          <w:p w14:paraId="1ACBAF10"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1307CAF0"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0.099*</w:t>
            </w:r>
          </w:p>
        </w:tc>
        <w:tc>
          <w:tcPr>
            <w:tcW w:w="1701" w:type="dxa"/>
          </w:tcPr>
          <w:p w14:paraId="2D010FA9"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15A81C2B" w14:textId="77777777" w:rsidTr="0043536F">
        <w:trPr>
          <w:trHeight w:val="350"/>
        </w:trPr>
        <w:tc>
          <w:tcPr>
            <w:tcW w:w="1843" w:type="dxa"/>
          </w:tcPr>
          <w:p w14:paraId="71D78BF9"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0.40</w:t>
            </w:r>
          </w:p>
        </w:tc>
        <w:tc>
          <w:tcPr>
            <w:tcW w:w="1985" w:type="dxa"/>
          </w:tcPr>
          <w:p w14:paraId="7521D307"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842" w:type="dxa"/>
          </w:tcPr>
          <w:p w14:paraId="2DA9B240"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6227FAB8"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c>
          <w:tcPr>
            <w:tcW w:w="1701" w:type="dxa"/>
          </w:tcPr>
          <w:p w14:paraId="32CA4AE6"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1AA6BD6F" w14:textId="77777777" w:rsidTr="0043536F">
        <w:trPr>
          <w:trHeight w:val="369"/>
        </w:trPr>
        <w:tc>
          <w:tcPr>
            <w:tcW w:w="1843" w:type="dxa"/>
          </w:tcPr>
          <w:p w14:paraId="6D4D637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0.50</w:t>
            </w:r>
          </w:p>
        </w:tc>
        <w:tc>
          <w:tcPr>
            <w:tcW w:w="1985" w:type="dxa"/>
          </w:tcPr>
          <w:p w14:paraId="4CED3E12"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2" w:type="dxa"/>
          </w:tcPr>
          <w:p w14:paraId="447305CA"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0BB1FAA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701" w:type="dxa"/>
          </w:tcPr>
          <w:p w14:paraId="45E91A67"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10E4B640" w14:textId="77777777" w:rsidTr="0043536F">
        <w:trPr>
          <w:trHeight w:val="389"/>
        </w:trPr>
        <w:tc>
          <w:tcPr>
            <w:tcW w:w="1843" w:type="dxa"/>
          </w:tcPr>
          <w:p w14:paraId="09BE00E7"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0.60</w:t>
            </w:r>
          </w:p>
        </w:tc>
        <w:tc>
          <w:tcPr>
            <w:tcW w:w="1985" w:type="dxa"/>
          </w:tcPr>
          <w:p w14:paraId="59354C86"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2" w:type="dxa"/>
          </w:tcPr>
          <w:p w14:paraId="6CC589C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71432347"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701" w:type="dxa"/>
          </w:tcPr>
          <w:p w14:paraId="37AD5D65"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1DCA92E4" w14:textId="77777777" w:rsidTr="0043536F">
        <w:trPr>
          <w:trHeight w:val="268"/>
        </w:trPr>
        <w:tc>
          <w:tcPr>
            <w:tcW w:w="1843" w:type="dxa"/>
          </w:tcPr>
          <w:p w14:paraId="31305E76"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0.75</w:t>
            </w:r>
          </w:p>
        </w:tc>
        <w:tc>
          <w:tcPr>
            <w:tcW w:w="1985" w:type="dxa"/>
          </w:tcPr>
          <w:p w14:paraId="27A4AAF6"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2" w:type="dxa"/>
          </w:tcPr>
          <w:p w14:paraId="733F6DE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6367AB74"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701" w:type="dxa"/>
          </w:tcPr>
          <w:p w14:paraId="1B296313"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32850CC4" w14:textId="77777777" w:rsidTr="0043536F">
        <w:trPr>
          <w:trHeight w:val="416"/>
        </w:trPr>
        <w:tc>
          <w:tcPr>
            <w:tcW w:w="1843" w:type="dxa"/>
          </w:tcPr>
          <w:p w14:paraId="7F71F723"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0.90</w:t>
            </w:r>
          </w:p>
        </w:tc>
        <w:tc>
          <w:tcPr>
            <w:tcW w:w="1985" w:type="dxa"/>
          </w:tcPr>
          <w:p w14:paraId="5222F067"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2" w:type="dxa"/>
          </w:tcPr>
          <w:p w14:paraId="216D6E78"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843" w:type="dxa"/>
          </w:tcPr>
          <w:p w14:paraId="7E33BD45" w14:textId="77777777" w:rsidR="0050122D" w:rsidRPr="0050122D" w:rsidRDefault="0050122D" w:rsidP="0050122D">
            <w:pPr>
              <w:spacing w:before="60" w:after="60"/>
              <w:jc w:val="center"/>
              <w:rPr>
                <w:rFonts w:ascii="Times New Roman" w:eastAsia="Calibri" w:hAnsi="Times New Roman" w:cs="Times New Roman"/>
                <w:sz w:val="24"/>
                <w:szCs w:val="24"/>
              </w:rPr>
            </w:pPr>
            <w:r w:rsidRPr="0050122D">
              <w:rPr>
                <w:rFonts w:ascii="Times New Roman" w:eastAsia="Calibri" w:hAnsi="Times New Roman" w:cs="Times New Roman"/>
                <w:sz w:val="24"/>
                <w:szCs w:val="24"/>
              </w:rPr>
              <w:t>-</w:t>
            </w:r>
          </w:p>
        </w:tc>
        <w:tc>
          <w:tcPr>
            <w:tcW w:w="1701" w:type="dxa"/>
          </w:tcPr>
          <w:p w14:paraId="21F0EB71"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0.000***</w:t>
            </w:r>
          </w:p>
        </w:tc>
      </w:tr>
      <w:tr w:rsidR="0050122D" w:rsidRPr="0050122D" w14:paraId="61261043" w14:textId="77777777" w:rsidTr="0043536F">
        <w:trPr>
          <w:trHeight w:val="416"/>
        </w:trPr>
        <w:tc>
          <w:tcPr>
            <w:tcW w:w="9214" w:type="dxa"/>
            <w:gridSpan w:val="5"/>
            <w:tcBorders>
              <w:bottom w:val="single" w:sz="4" w:space="0" w:color="auto"/>
            </w:tcBorders>
          </w:tcPr>
          <w:p w14:paraId="35479651"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10% level</w:t>
            </w:r>
          </w:p>
          <w:p w14:paraId="165E7679"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5% level</w:t>
            </w:r>
          </w:p>
          <w:p w14:paraId="40F3B9A7" w14:textId="77777777" w:rsidR="0050122D" w:rsidRPr="0050122D" w:rsidRDefault="0050122D" w:rsidP="0050122D">
            <w:pPr>
              <w:spacing w:before="60" w:after="60"/>
              <w:rPr>
                <w:rFonts w:ascii="Times New Roman" w:eastAsia="Calibri" w:hAnsi="Times New Roman" w:cs="Times New Roman"/>
                <w:sz w:val="24"/>
                <w:szCs w:val="24"/>
              </w:rPr>
            </w:pPr>
            <w:r w:rsidRPr="0050122D">
              <w:rPr>
                <w:rFonts w:ascii="Times New Roman" w:eastAsia="Calibri" w:hAnsi="Times New Roman" w:cs="Times New Roman"/>
                <w:sz w:val="24"/>
                <w:szCs w:val="24"/>
              </w:rPr>
              <w:t>***</w:t>
            </w:r>
            <w:r w:rsidRPr="0050122D">
              <w:rPr>
                <w:rFonts w:ascii="Times New Roman" w:eastAsia="Calibri" w:hAnsi="Times New Roman" w:cs="Times New Roman"/>
                <w:sz w:val="24"/>
                <w:szCs w:val="24"/>
              </w:rPr>
              <w:tab/>
              <w:t>Statistically significant at 1% level</w:t>
            </w:r>
          </w:p>
        </w:tc>
      </w:tr>
    </w:tbl>
    <w:p w14:paraId="0C4AB6F4" w14:textId="77777777" w:rsidR="0050122D" w:rsidRPr="0050122D" w:rsidRDefault="0050122D" w:rsidP="0050122D">
      <w:pPr>
        <w:spacing w:before="60" w:after="240" w:line="360" w:lineRule="auto"/>
        <w:rPr>
          <w:rFonts w:ascii="Times New Roman" w:eastAsia="Aptos" w:hAnsi="Times New Roman" w:cs="Times New Roman"/>
          <w:i/>
          <w:kern w:val="0"/>
          <w:sz w:val="24"/>
          <w:szCs w:val="24"/>
          <w14:ligatures w14:val="none"/>
        </w:rPr>
      </w:pPr>
      <w:r w:rsidRPr="0050122D">
        <w:rPr>
          <w:rFonts w:ascii="Times New Roman" w:eastAsia="Aptos" w:hAnsi="Times New Roman" w:cs="Times New Roman"/>
          <w:i/>
          <w:kern w:val="0"/>
          <w:sz w:val="24"/>
          <w:szCs w:val="24"/>
          <w14:ligatures w14:val="none"/>
        </w:rPr>
        <w:t>Source: Author’s computation using STATA 17</w:t>
      </w:r>
    </w:p>
    <w:p w14:paraId="29597599" w14:textId="77777777" w:rsidR="0050122D" w:rsidRPr="0050122D" w:rsidRDefault="0050122D" w:rsidP="0050122D">
      <w:pPr>
        <w:spacing w:line="360" w:lineRule="auto"/>
        <w:jc w:val="both"/>
        <w:rPr>
          <w:rFonts w:ascii="Times New Roman" w:eastAsia="Aptos" w:hAnsi="Times New Roman" w:cs="Times New Roman"/>
          <w:sz w:val="24"/>
          <w:szCs w:val="24"/>
        </w:rPr>
      </w:pPr>
      <w:r w:rsidRPr="0050122D">
        <w:rPr>
          <w:rFonts w:ascii="Times New Roman" w:eastAsia="Aptos" w:hAnsi="Times New Roman" w:cs="Times New Roman"/>
          <w:sz w:val="24"/>
          <w:szCs w:val="24"/>
        </w:rPr>
        <w:t>Based on the results of QADF and QPP at level and first difference, household consumption, pay as you earn tax, household disposable income, and unemployment are stationary in most of the quantiles.</w:t>
      </w:r>
    </w:p>
    <w:p w14:paraId="680148F2" w14:textId="77777777" w:rsidR="0050122D" w:rsidRPr="0050122D" w:rsidRDefault="0050122D" w:rsidP="0050122D">
      <w:pPr>
        <w:keepNext/>
        <w:numPr>
          <w:ilvl w:val="3"/>
          <w:numId w:val="0"/>
        </w:numPr>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bookmarkStart w:id="77" w:name="_Toc183627200"/>
      <w:bookmarkStart w:id="78" w:name="_Hlk176704518"/>
      <w:bookmarkStart w:id="79" w:name="_Hlk176700671"/>
      <w:r w:rsidRPr="0050122D">
        <w:rPr>
          <w:rFonts w:ascii="Times New Roman" w:eastAsia="Calibri" w:hAnsi="Times New Roman" w:cs="Times New Roman"/>
          <w:b/>
          <w:bCs/>
          <w:kern w:val="0"/>
          <w:sz w:val="24"/>
          <w:szCs w:val="24"/>
          <w:lang w:val="en-US" w:eastAsia="en-ZA"/>
          <w14:ligatures w14:val="none"/>
        </w:rPr>
        <w:t>4.3 Quantile cointegration</w:t>
      </w:r>
      <w:bookmarkEnd w:id="77"/>
      <w:r w:rsidRPr="0050122D">
        <w:rPr>
          <w:rFonts w:ascii="Times New Roman" w:eastAsia="Calibri" w:hAnsi="Times New Roman" w:cs="Times New Roman"/>
          <w:b/>
          <w:bCs/>
          <w:kern w:val="0"/>
          <w:sz w:val="24"/>
          <w:szCs w:val="24"/>
          <w:lang w:val="en-US" w:eastAsia="en-ZA"/>
          <w14:ligatures w14:val="none"/>
        </w:rPr>
        <w:t xml:space="preserve"> </w:t>
      </w:r>
      <w:bookmarkEnd w:id="78"/>
    </w:p>
    <w:p w14:paraId="14584801" w14:textId="77777777" w:rsidR="0050122D" w:rsidRPr="0050122D" w:rsidRDefault="0050122D" w:rsidP="0050122D">
      <w:pPr>
        <w:spacing w:after="240" w:line="360" w:lineRule="auto"/>
        <w:jc w:val="both"/>
        <w:rPr>
          <w:rFonts w:ascii="Times New Roman" w:eastAsia="Times New Roman" w:hAnsi="Times New Roman" w:cs="Times New Roman"/>
          <w:iCs/>
          <w:noProof/>
          <w:kern w:val="0"/>
          <w:sz w:val="24"/>
          <w:szCs w:val="24"/>
          <w14:ligatures w14:val="none"/>
        </w:rPr>
      </w:pPr>
      <w:bookmarkStart w:id="80" w:name="_Hlk176701479"/>
      <w:bookmarkStart w:id="81" w:name="_Hlk176705339"/>
      <w:bookmarkEnd w:id="79"/>
      <w:r w:rsidRPr="0050122D">
        <w:rPr>
          <w:rFonts w:ascii="Times New Roman" w:eastAsia="Times New Roman" w:hAnsi="Times New Roman" w:cs="Times New Roman"/>
          <w:kern w:val="0"/>
          <w:sz w:val="24"/>
          <w:szCs w:val="24"/>
          <w:lang w:eastAsia="en-ZA"/>
          <w14:ligatures w14:val="none"/>
        </w:rPr>
        <w:t xml:space="preserve">This study estimated quantile cointegration processes to investigate how cointegration varies across different parts of the distribution, which can help in understanding if the relationship between pay as you earn tax on household consumption changes, depending on whether they are at extreme values (upper or lower quantiles), or closer to the median. </w:t>
      </w:r>
      <w:r w:rsidRPr="0050122D">
        <w:rPr>
          <w:rFonts w:ascii="Times New Roman" w:eastAsia="Calibri" w:hAnsi="Times New Roman" w:cs="Times New Roman"/>
          <w:kern w:val="0"/>
          <w:sz w:val="24"/>
          <w:szCs w:val="24"/>
          <w14:ligatures w14:val="none"/>
        </w:rPr>
        <w:t xml:space="preserve">Figure 1 </w:t>
      </w:r>
      <w:r w:rsidRPr="0050122D">
        <w:rPr>
          <w:rFonts w:ascii="Times New Roman" w:eastAsia="Times New Roman" w:hAnsi="Times New Roman" w:cs="Times New Roman"/>
          <w:kern w:val="0"/>
          <w:sz w:val="24"/>
          <w:szCs w:val="24"/>
          <w:lang w:eastAsia="en-ZA"/>
          <w14:ligatures w14:val="none"/>
        </w:rPr>
        <w:t>shows multiple quantile levels of the cointegrating relation, and each line represents the behaviour of the cointegrating relation for different parts of the distribution, with the 0.5 quantile (median) being highlighted in red and labelled as “Estimated.”</w:t>
      </w:r>
      <w:r w:rsidRPr="0050122D">
        <w:rPr>
          <w:rFonts w:ascii="Times New Roman" w:eastAsia="Times New Roman" w:hAnsi="Times New Roman" w:cs="Times New Roman"/>
          <w:i/>
          <w:noProof/>
          <w:kern w:val="0"/>
          <w:sz w:val="24"/>
          <w:szCs w:val="24"/>
          <w14:ligatures w14:val="none"/>
        </w:rPr>
        <w:t xml:space="preserve"> </w:t>
      </w:r>
    </w:p>
    <w:p w14:paraId="19CF0AE8"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Figure 1 shows fluctuations in the cointegrating relation over time. There are periods of peaks, such as in 2010 and 2022, and troughs in years 2008 and 2014. These changes imply varying degrees of cointegration across different quantiles, meaning that the relationship between the underlying variables is not constant and exhibits varying strength across different parts of their distribution.</w:t>
      </w:r>
    </w:p>
    <w:tbl>
      <w:tblPr>
        <w:tblStyle w:val="TableGrid13"/>
        <w:tblW w:w="9351" w:type="dxa"/>
        <w:tblLayout w:type="fixed"/>
        <w:tblLook w:val="04A0" w:firstRow="1" w:lastRow="0" w:firstColumn="1" w:lastColumn="0" w:noHBand="0" w:noVBand="1"/>
      </w:tblPr>
      <w:tblGrid>
        <w:gridCol w:w="9351"/>
      </w:tblGrid>
      <w:tr w:rsidR="0050122D" w:rsidRPr="0050122D" w14:paraId="1F69C674" w14:textId="77777777" w:rsidTr="0043536F">
        <w:tc>
          <w:tcPr>
            <w:tcW w:w="9351" w:type="dxa"/>
          </w:tcPr>
          <w:p w14:paraId="36E23721" w14:textId="77777777" w:rsidR="0050122D" w:rsidRPr="0050122D" w:rsidRDefault="0050122D" w:rsidP="0050122D">
            <w:pPr>
              <w:ind w:left="-120" w:right="-26"/>
              <w:rPr>
                <w:rFonts w:ascii="Times New Roman" w:hAnsi="Times New Roman"/>
                <w:sz w:val="24"/>
                <w:szCs w:val="24"/>
              </w:rPr>
            </w:pPr>
            <w:r w:rsidRPr="0050122D">
              <w:rPr>
                <w:rFonts w:ascii="Times New Roman" w:eastAsia="Times New Roman" w:hAnsi="Times New Roman" w:cstheme="minorBidi"/>
                <w:sz w:val="24"/>
                <w:szCs w:val="24"/>
                <w:highlight w:val="lightGray"/>
              </w:rPr>
              <w:object w:dxaOrig="8536" w:dyaOrig="6270" w14:anchorId="03A2C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52pt" o:ole="">
                  <v:imagedata r:id="rId9" o:title=""/>
                </v:shape>
                <o:OLEObject Type="Embed" ProgID="EViews.Workfile.2" ShapeID="_x0000_i1025" DrawAspect="Content" ObjectID="_1824032962" r:id="rId10"/>
              </w:object>
            </w:r>
          </w:p>
        </w:tc>
      </w:tr>
    </w:tbl>
    <w:p w14:paraId="37EF2556" w14:textId="77777777" w:rsidR="0050122D" w:rsidRPr="0050122D" w:rsidRDefault="0050122D" w:rsidP="0050122D">
      <w:pPr>
        <w:spacing w:after="0" w:line="360" w:lineRule="auto"/>
        <w:rPr>
          <w:rFonts w:ascii="Times New Roman" w:eastAsia="Times New Roman" w:hAnsi="Times New Roman" w:cs="Times New Roman"/>
          <w:b/>
          <w:bCs/>
          <w:kern w:val="0"/>
          <w:sz w:val="24"/>
          <w:szCs w:val="24"/>
          <w14:ligatures w14:val="none"/>
        </w:rPr>
      </w:pPr>
      <w:bookmarkStart w:id="82" w:name="_Toc180329899"/>
      <w:bookmarkStart w:id="83" w:name="_Toc183627017"/>
      <w:r w:rsidRPr="0050122D">
        <w:rPr>
          <w:rFonts w:ascii="Times New Roman" w:eastAsia="Times New Roman" w:hAnsi="Times New Roman" w:cs="Times New Roman"/>
          <w:b/>
          <w:bCs/>
          <w:kern w:val="0"/>
          <w:sz w:val="24"/>
          <w:szCs w:val="24"/>
          <w14:ligatures w14:val="none"/>
        </w:rPr>
        <w:t xml:space="preserve">Figure </w:t>
      </w:r>
      <w:bookmarkEnd w:id="80"/>
      <w:r w:rsidRPr="0050122D">
        <w:rPr>
          <w:rFonts w:ascii="Times New Roman" w:eastAsia="Times New Roman" w:hAnsi="Times New Roman" w:cs="Times New Roman"/>
          <w:b/>
          <w:bCs/>
          <w:kern w:val="0"/>
          <w:sz w:val="24"/>
          <w:szCs w:val="24"/>
          <w14:ligatures w14:val="none"/>
        </w:rPr>
        <w:t>1</w:t>
      </w:r>
      <w:r w:rsidRPr="0050122D">
        <w:rPr>
          <w:rFonts w:ascii="Times New Roman" w:eastAsia="Calibri" w:hAnsi="Times New Roman" w:cs="Times New Roman"/>
          <w:b/>
          <w:bCs/>
          <w:kern w:val="0"/>
          <w:sz w:val="24"/>
          <w:szCs w:val="24"/>
          <w14:ligatures w14:val="none"/>
        </w:rPr>
        <w:t xml:space="preserve">: </w:t>
      </w:r>
      <w:r w:rsidRPr="0050122D">
        <w:rPr>
          <w:rFonts w:ascii="Times New Roman" w:eastAsia="Times New Roman" w:hAnsi="Times New Roman" w:cs="Times New Roman"/>
          <w:b/>
          <w:bCs/>
          <w:kern w:val="0"/>
          <w:sz w:val="24"/>
          <w:szCs w:val="24"/>
          <w:lang w:eastAsia="en-ZA"/>
          <w14:ligatures w14:val="none"/>
        </w:rPr>
        <w:t>Cointegrating relations quantile processes test results</w:t>
      </w:r>
      <w:bookmarkEnd w:id="82"/>
      <w:bookmarkEnd w:id="83"/>
    </w:p>
    <w:p w14:paraId="6C781BDF" w14:textId="77777777" w:rsidR="0050122D" w:rsidRPr="0050122D" w:rsidRDefault="0050122D" w:rsidP="0050122D">
      <w:pPr>
        <w:spacing w:after="240" w:line="360" w:lineRule="auto"/>
        <w:jc w:val="both"/>
        <w:rPr>
          <w:rFonts w:ascii="Times New Roman" w:eastAsia="Times New Roman" w:hAnsi="Times New Roman" w:cs="Times New Roman"/>
          <w:bCs/>
          <w:i/>
          <w:iCs/>
          <w:noProof/>
          <w:kern w:val="0"/>
          <w:sz w:val="24"/>
          <w:szCs w:val="24"/>
          <w14:ligatures w14:val="none"/>
        </w:rPr>
      </w:pPr>
      <w:r w:rsidRPr="0050122D">
        <w:rPr>
          <w:rFonts w:ascii="Times New Roman" w:eastAsia="Times New Roman" w:hAnsi="Times New Roman" w:cs="Times New Roman"/>
          <w:bCs/>
          <w:i/>
          <w:iCs/>
          <w:noProof/>
          <w:kern w:val="0"/>
          <w:sz w:val="24"/>
          <w:szCs w:val="24"/>
          <w14:ligatures w14:val="none"/>
        </w:rPr>
        <w:t>Source: Author’s computation using Eviews 14</w:t>
      </w:r>
      <w:bookmarkEnd w:id="81"/>
    </w:p>
    <w:p w14:paraId="56D22CBA" w14:textId="77777777" w:rsidR="0050122D" w:rsidRPr="0050122D" w:rsidRDefault="0050122D" w:rsidP="0050122D">
      <w:pPr>
        <w:spacing w:after="240" w:line="360" w:lineRule="auto"/>
        <w:jc w:val="both"/>
        <w:rPr>
          <w:rFonts w:ascii="Times New Roman" w:eastAsia="Times New Roman" w:hAnsi="Times New Roman" w:cs="Times New Roman"/>
          <w:iCs/>
          <w:noProof/>
          <w:kern w:val="0"/>
          <w:sz w:val="24"/>
          <w:szCs w:val="24"/>
          <w14:ligatures w14:val="none"/>
        </w:rPr>
      </w:pPr>
      <w:r w:rsidRPr="0050122D">
        <w:rPr>
          <w:rFonts w:ascii="Times New Roman" w:eastAsia="Times New Roman" w:hAnsi="Times New Roman" w:cs="Times New Roman"/>
          <w:kern w:val="0"/>
          <w:sz w:val="24"/>
          <w:szCs w:val="24"/>
          <w:lang w:eastAsia="en-ZA"/>
          <w14:ligatures w14:val="none"/>
        </w:rPr>
        <w:t>The different quantile lines generally move together but show some divergence in certain periods, suggesting that the relationship between the variables might vary across quantiles; this implies</w:t>
      </w:r>
      <w:r w:rsidRPr="0050122D">
        <w:rPr>
          <w:rFonts w:ascii="Times New Roman" w:eastAsia="Aptos" w:hAnsi="Times New Roman" w:cs="Times New Roman"/>
          <w:sz w:val="24"/>
          <w:szCs w:val="24"/>
        </w:rPr>
        <w:t xml:space="preserve"> </w:t>
      </w:r>
      <w:r w:rsidRPr="0050122D">
        <w:rPr>
          <w:rFonts w:ascii="Times New Roman" w:eastAsia="Times New Roman" w:hAnsi="Times New Roman" w:cs="Times New Roman"/>
          <w:kern w:val="0"/>
          <w:sz w:val="24"/>
          <w:szCs w:val="24"/>
          <w:lang w:eastAsia="en-ZA"/>
          <w14:ligatures w14:val="none"/>
        </w:rPr>
        <w:t>heterogeneity. The lower quantiles tend to deviate more during certain periods, indicating that the impact on the lower part of the distribution is different compared to the upper part, as demonstrated in</w:t>
      </w:r>
      <w:r w:rsidRPr="0050122D">
        <w:rPr>
          <w:rFonts w:ascii="Times New Roman" w:eastAsia="Aptos" w:hAnsi="Times New Roman" w:cs="Times New Roman"/>
          <w:sz w:val="24"/>
          <w:szCs w:val="24"/>
        </w:rPr>
        <w:t xml:space="preserve"> </w:t>
      </w:r>
      <w:r w:rsidRPr="0050122D">
        <w:rPr>
          <w:rFonts w:ascii="Times New Roman" w:eastAsia="Times New Roman" w:hAnsi="Times New Roman" w:cs="Times New Roman"/>
          <w:kern w:val="0"/>
          <w:sz w:val="24"/>
          <w:szCs w:val="24"/>
          <w:lang w:eastAsia="en-ZA"/>
          <w14:ligatures w14:val="none"/>
        </w:rPr>
        <w:t>Figure 1.</w:t>
      </w:r>
    </w:p>
    <w:p w14:paraId="580AB901" w14:textId="77777777" w:rsidR="0050122D" w:rsidRPr="0050122D" w:rsidRDefault="0050122D" w:rsidP="0050122D">
      <w:pPr>
        <w:keepNext/>
        <w:numPr>
          <w:ilvl w:val="3"/>
          <w:numId w:val="0"/>
        </w:numPr>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bookmarkStart w:id="84" w:name="_Toc183627201"/>
      <w:bookmarkStart w:id="85" w:name="_Hlk176702564"/>
      <w:r w:rsidRPr="0050122D">
        <w:rPr>
          <w:rFonts w:ascii="Times New Roman" w:eastAsia="Calibri" w:hAnsi="Times New Roman" w:cs="Times New Roman"/>
          <w:b/>
          <w:bCs/>
          <w:kern w:val="0"/>
          <w:sz w:val="24"/>
          <w:szCs w:val="24"/>
          <w:lang w:val="en-US" w:eastAsia="en-ZA"/>
          <w14:ligatures w14:val="none"/>
        </w:rPr>
        <w:t>4.5 Long-run QARDL estimates results</w:t>
      </w:r>
      <w:bookmarkEnd w:id="84"/>
      <w:r w:rsidRPr="0050122D">
        <w:rPr>
          <w:rFonts w:ascii="Times New Roman" w:eastAsia="Calibri" w:hAnsi="Times New Roman" w:cs="Times New Roman"/>
          <w:b/>
          <w:bCs/>
          <w:kern w:val="0"/>
          <w:sz w:val="24"/>
          <w:szCs w:val="24"/>
          <w:lang w:val="en-US" w:eastAsia="en-ZA"/>
          <w14:ligatures w14:val="none"/>
        </w:rPr>
        <w:t xml:space="preserve"> </w:t>
      </w:r>
      <w:bookmarkEnd w:id="85"/>
    </w:p>
    <w:p w14:paraId="2E68489C"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This study estimated the long-run QARDL model to check the effect of pay as you earn tax on household consumption the results are presented in</w:t>
      </w:r>
      <w:r w:rsidRPr="0050122D">
        <w:rPr>
          <w:rFonts w:ascii="Times New Roman" w:eastAsia="Aptos" w:hAnsi="Times New Roman" w:cs="Times New Roman"/>
          <w:sz w:val="24"/>
          <w:szCs w:val="24"/>
        </w:rPr>
        <w:t xml:space="preserve"> </w:t>
      </w:r>
      <w:r w:rsidRPr="0050122D">
        <w:rPr>
          <w:rFonts w:ascii="Times New Roman" w:eastAsia="Times New Roman" w:hAnsi="Times New Roman" w:cs="Times New Roman"/>
          <w:kern w:val="0"/>
          <w:sz w:val="24"/>
          <w:szCs w:val="24"/>
          <w:lang w:eastAsia="en-ZA"/>
          <w14:ligatures w14:val="none"/>
        </w:rPr>
        <w:t xml:space="preserve">Table 6 below. </w:t>
      </w:r>
    </w:p>
    <w:p w14:paraId="71B65C10"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shd w:val="clear" w:color="auto" w:fill="FFFFFF"/>
          <w14:ligatures w14:val="none"/>
        </w:rPr>
      </w:pPr>
      <w:r w:rsidRPr="0050122D">
        <w:rPr>
          <w:rFonts w:ascii="Times New Roman" w:eastAsia="Times New Roman" w:hAnsi="Times New Roman" w:cs="Times New Roman"/>
          <w:kern w:val="0"/>
          <w:sz w:val="24"/>
          <w:szCs w:val="24"/>
          <w:lang w:eastAsia="en-ZA"/>
          <w14:ligatures w14:val="none"/>
        </w:rPr>
        <w:t xml:space="preserve">Table 6 shows pay as you earn tax is not significant in the lower, middle, and upper quantiles in the long run. These results are supported by </w:t>
      </w:r>
      <w:r w:rsidRPr="0050122D">
        <w:rPr>
          <w:rFonts w:ascii="Times New Roman" w:eastAsia="Times New Roman" w:hAnsi="Times New Roman" w:cs="Times New Roman"/>
          <w:kern w:val="0"/>
          <w:sz w:val="24"/>
          <w:szCs w:val="24"/>
          <w:shd w:val="clear" w:color="auto" w:fill="FFFFFF"/>
          <w14:ligatures w14:val="none"/>
        </w:rPr>
        <w:t xml:space="preserve">Li and Li (2020), who found that taxes on income are not statistically significantly related to consumption. </w:t>
      </w:r>
    </w:p>
    <w:p w14:paraId="7BF6D861"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 xml:space="preserve">The lower quantiles in Table 6 signify that household disposable income is statistically significant at the 5% level. It means that household disposable income has a positive impact on household consumption in the long run. Moving to the middle quantiles, 0.40 and 0.50, the household disposable income is statistically significant at the 1% level, since both quantiles have a p-value of 0.5%. In the 0.60 middle quantile, the household disposable income has a p-value of 1.09% which is less than the 5% level of significance, as presented in Table 6. </w:t>
      </w:r>
    </w:p>
    <w:p w14:paraId="47D80A22"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bookmarkStart w:id="86" w:name="_Toc180325931"/>
      <w:bookmarkStart w:id="87" w:name="_Toc183626791"/>
      <w:r w:rsidRPr="0050122D">
        <w:rPr>
          <w:rFonts w:ascii="Times New Roman" w:eastAsia="Times New Roman" w:hAnsi="Times New Roman" w:cs="Times New Roman"/>
          <w:b/>
          <w:bCs/>
          <w:kern w:val="0"/>
          <w:sz w:val="24"/>
          <w:szCs w:val="24"/>
          <w14:ligatures w14:val="none"/>
        </w:rPr>
        <w:t>Table 6: Long-run QARDL estimates</w:t>
      </w:r>
      <w:bookmarkEnd w:id="86"/>
      <w:bookmarkEnd w:id="87"/>
      <w:r w:rsidRPr="0050122D">
        <w:rPr>
          <w:rFonts w:ascii="Times New Roman" w:eastAsia="Times New Roman" w:hAnsi="Times New Roman" w:cs="Times New Roman"/>
          <w:b/>
          <w:bCs/>
          <w:kern w:val="0"/>
          <w:sz w:val="24"/>
          <w:szCs w:val="24"/>
          <w14:ligatures w14:val="none"/>
        </w:rPr>
        <w:t xml:space="preserve"> </w:t>
      </w:r>
    </w:p>
    <w:tbl>
      <w:tblPr>
        <w:tblStyle w:val="TableGrid82"/>
        <w:tblpPr w:leftFromText="180" w:rightFromText="180" w:vertAnchor="text" w:horzAnchor="margin" w:tblpX="-15" w:tblpY="14"/>
        <w:tblW w:w="5000" w:type="pct"/>
        <w:tblLook w:val="04A0" w:firstRow="1" w:lastRow="0" w:firstColumn="1" w:lastColumn="0" w:noHBand="0" w:noVBand="1"/>
      </w:tblPr>
      <w:tblGrid>
        <w:gridCol w:w="1177"/>
        <w:gridCol w:w="1458"/>
        <w:gridCol w:w="1187"/>
        <w:gridCol w:w="1561"/>
        <w:gridCol w:w="1248"/>
        <w:gridCol w:w="1458"/>
        <w:gridCol w:w="1256"/>
      </w:tblGrid>
      <w:tr w:rsidR="0050122D" w:rsidRPr="0050122D" w14:paraId="022C4F02" w14:textId="77777777" w:rsidTr="0043536F">
        <w:trPr>
          <w:tblHeader/>
        </w:trPr>
        <w:tc>
          <w:tcPr>
            <w:tcW w:w="630" w:type="pct"/>
            <w:vMerge w:val="restart"/>
          </w:tcPr>
          <w:p w14:paraId="46098ECC" w14:textId="77777777" w:rsidR="0050122D" w:rsidRPr="0050122D" w:rsidRDefault="0050122D" w:rsidP="0050122D">
            <w:pPr>
              <w:spacing w:before="60" w:after="60"/>
              <w:jc w:val="center"/>
              <w:rPr>
                <w:b/>
                <w:sz w:val="24"/>
                <w:szCs w:val="24"/>
              </w:rPr>
            </w:pPr>
            <w:bookmarkStart w:id="88" w:name="_Hlk175175617"/>
            <w:r w:rsidRPr="0050122D">
              <w:rPr>
                <w:b/>
                <w:sz w:val="24"/>
                <w:szCs w:val="24"/>
              </w:rPr>
              <w:t>Quantile</w:t>
            </w:r>
          </w:p>
        </w:tc>
        <w:tc>
          <w:tcPr>
            <w:tcW w:w="1415" w:type="pct"/>
            <w:gridSpan w:val="2"/>
          </w:tcPr>
          <w:p w14:paraId="77B7F6C8" w14:textId="77777777" w:rsidR="0050122D" w:rsidRPr="0050122D" w:rsidRDefault="0050122D" w:rsidP="0050122D">
            <w:pPr>
              <w:spacing w:before="60" w:after="60"/>
              <w:jc w:val="center"/>
              <w:rPr>
                <w:b/>
                <w:sz w:val="24"/>
                <w:szCs w:val="24"/>
              </w:rPr>
            </w:pPr>
            <w:r w:rsidRPr="0050122D">
              <w:rPr>
                <w:b/>
                <w:sz w:val="24"/>
                <w:szCs w:val="24"/>
              </w:rPr>
              <w:t>LPAYE</w:t>
            </w:r>
          </w:p>
        </w:tc>
        <w:tc>
          <w:tcPr>
            <w:tcW w:w="1502" w:type="pct"/>
            <w:gridSpan w:val="2"/>
          </w:tcPr>
          <w:p w14:paraId="67834C37" w14:textId="77777777" w:rsidR="0050122D" w:rsidRPr="0050122D" w:rsidRDefault="0050122D" w:rsidP="0050122D">
            <w:pPr>
              <w:spacing w:before="60" w:after="60"/>
              <w:jc w:val="center"/>
              <w:rPr>
                <w:b/>
                <w:sz w:val="24"/>
                <w:szCs w:val="24"/>
              </w:rPr>
            </w:pPr>
            <w:r w:rsidRPr="0050122D">
              <w:rPr>
                <w:b/>
                <w:sz w:val="24"/>
                <w:szCs w:val="24"/>
              </w:rPr>
              <w:t>HDI</w:t>
            </w:r>
          </w:p>
        </w:tc>
        <w:tc>
          <w:tcPr>
            <w:tcW w:w="1452" w:type="pct"/>
            <w:gridSpan w:val="2"/>
          </w:tcPr>
          <w:p w14:paraId="330FDA09" w14:textId="77777777" w:rsidR="0050122D" w:rsidRPr="0050122D" w:rsidRDefault="0050122D" w:rsidP="0050122D">
            <w:pPr>
              <w:spacing w:before="60" w:after="60"/>
              <w:jc w:val="center"/>
              <w:rPr>
                <w:b/>
                <w:sz w:val="24"/>
                <w:szCs w:val="24"/>
              </w:rPr>
            </w:pPr>
            <w:r w:rsidRPr="0050122D">
              <w:rPr>
                <w:b/>
                <w:sz w:val="24"/>
                <w:szCs w:val="24"/>
              </w:rPr>
              <w:t>LUER</w:t>
            </w:r>
          </w:p>
        </w:tc>
      </w:tr>
      <w:tr w:rsidR="0050122D" w:rsidRPr="0050122D" w14:paraId="424415E6" w14:textId="77777777" w:rsidTr="0043536F">
        <w:trPr>
          <w:tblHeader/>
        </w:trPr>
        <w:tc>
          <w:tcPr>
            <w:tcW w:w="630" w:type="pct"/>
            <w:vMerge/>
          </w:tcPr>
          <w:p w14:paraId="78DFBAFE" w14:textId="77777777" w:rsidR="0050122D" w:rsidRPr="0050122D" w:rsidRDefault="0050122D" w:rsidP="0050122D">
            <w:pPr>
              <w:spacing w:before="60" w:after="60"/>
              <w:jc w:val="center"/>
              <w:rPr>
                <w:b/>
                <w:sz w:val="24"/>
                <w:szCs w:val="24"/>
              </w:rPr>
            </w:pPr>
          </w:p>
        </w:tc>
        <w:tc>
          <w:tcPr>
            <w:tcW w:w="780" w:type="pct"/>
          </w:tcPr>
          <w:p w14:paraId="3A15961E" w14:textId="77777777" w:rsidR="0050122D" w:rsidRPr="0050122D" w:rsidRDefault="0050122D" w:rsidP="0050122D">
            <w:pPr>
              <w:spacing w:before="60" w:after="60"/>
              <w:jc w:val="center"/>
              <w:rPr>
                <w:b/>
                <w:sz w:val="24"/>
                <w:szCs w:val="24"/>
              </w:rPr>
            </w:pPr>
            <w:r w:rsidRPr="0050122D">
              <w:rPr>
                <w:b/>
                <w:sz w:val="24"/>
                <w:szCs w:val="24"/>
              </w:rPr>
              <w:t>Coefficient</w:t>
            </w:r>
          </w:p>
        </w:tc>
        <w:tc>
          <w:tcPr>
            <w:tcW w:w="635" w:type="pct"/>
          </w:tcPr>
          <w:p w14:paraId="692CC068" w14:textId="77777777" w:rsidR="0050122D" w:rsidRPr="0050122D" w:rsidRDefault="0050122D" w:rsidP="0050122D">
            <w:pPr>
              <w:spacing w:before="60" w:after="60"/>
              <w:jc w:val="center"/>
              <w:rPr>
                <w:b/>
                <w:sz w:val="24"/>
                <w:szCs w:val="24"/>
              </w:rPr>
            </w:pPr>
            <w:r w:rsidRPr="0050122D">
              <w:rPr>
                <w:b/>
                <w:sz w:val="24"/>
                <w:szCs w:val="24"/>
              </w:rPr>
              <w:t>P-Value</w:t>
            </w:r>
          </w:p>
        </w:tc>
        <w:tc>
          <w:tcPr>
            <w:tcW w:w="835" w:type="pct"/>
          </w:tcPr>
          <w:p w14:paraId="74DE48DE" w14:textId="77777777" w:rsidR="0050122D" w:rsidRPr="0050122D" w:rsidRDefault="0050122D" w:rsidP="0050122D">
            <w:pPr>
              <w:spacing w:before="60" w:after="60"/>
              <w:jc w:val="center"/>
              <w:rPr>
                <w:b/>
                <w:sz w:val="24"/>
                <w:szCs w:val="24"/>
              </w:rPr>
            </w:pPr>
            <w:r w:rsidRPr="0050122D">
              <w:rPr>
                <w:b/>
                <w:sz w:val="24"/>
                <w:szCs w:val="24"/>
              </w:rPr>
              <w:t>Coefficient</w:t>
            </w:r>
          </w:p>
        </w:tc>
        <w:tc>
          <w:tcPr>
            <w:tcW w:w="668" w:type="pct"/>
          </w:tcPr>
          <w:p w14:paraId="0E9E6CDB" w14:textId="77777777" w:rsidR="0050122D" w:rsidRPr="0050122D" w:rsidRDefault="0050122D" w:rsidP="0050122D">
            <w:pPr>
              <w:spacing w:before="60" w:after="60"/>
              <w:jc w:val="center"/>
              <w:rPr>
                <w:b/>
                <w:sz w:val="24"/>
                <w:szCs w:val="24"/>
              </w:rPr>
            </w:pPr>
            <w:r w:rsidRPr="0050122D">
              <w:rPr>
                <w:b/>
                <w:sz w:val="24"/>
                <w:szCs w:val="24"/>
              </w:rPr>
              <w:t>P-Value</w:t>
            </w:r>
          </w:p>
        </w:tc>
        <w:tc>
          <w:tcPr>
            <w:tcW w:w="780" w:type="pct"/>
          </w:tcPr>
          <w:p w14:paraId="6EC2B8F1" w14:textId="77777777" w:rsidR="0050122D" w:rsidRPr="0050122D" w:rsidRDefault="0050122D" w:rsidP="0050122D">
            <w:pPr>
              <w:spacing w:before="60" w:after="60"/>
              <w:jc w:val="center"/>
              <w:rPr>
                <w:b/>
                <w:sz w:val="24"/>
                <w:szCs w:val="24"/>
              </w:rPr>
            </w:pPr>
            <w:r w:rsidRPr="0050122D">
              <w:rPr>
                <w:b/>
                <w:sz w:val="24"/>
                <w:szCs w:val="24"/>
              </w:rPr>
              <w:t>Coefficient</w:t>
            </w:r>
          </w:p>
        </w:tc>
        <w:tc>
          <w:tcPr>
            <w:tcW w:w="672" w:type="pct"/>
          </w:tcPr>
          <w:p w14:paraId="3F3DD5E9" w14:textId="77777777" w:rsidR="0050122D" w:rsidRPr="0050122D" w:rsidRDefault="0050122D" w:rsidP="0050122D">
            <w:pPr>
              <w:spacing w:before="60" w:after="60"/>
              <w:jc w:val="center"/>
              <w:rPr>
                <w:b/>
                <w:sz w:val="24"/>
                <w:szCs w:val="24"/>
              </w:rPr>
            </w:pPr>
            <w:r w:rsidRPr="0050122D">
              <w:rPr>
                <w:b/>
                <w:sz w:val="24"/>
                <w:szCs w:val="24"/>
              </w:rPr>
              <w:t>P-Value</w:t>
            </w:r>
          </w:p>
        </w:tc>
      </w:tr>
      <w:tr w:rsidR="0050122D" w:rsidRPr="0050122D" w14:paraId="5B284175" w14:textId="77777777" w:rsidTr="0043536F">
        <w:tc>
          <w:tcPr>
            <w:tcW w:w="630" w:type="pct"/>
          </w:tcPr>
          <w:p w14:paraId="4908F29E" w14:textId="77777777" w:rsidR="0050122D" w:rsidRPr="0050122D" w:rsidRDefault="0050122D" w:rsidP="0050122D">
            <w:pPr>
              <w:spacing w:before="60" w:after="60"/>
              <w:rPr>
                <w:sz w:val="24"/>
                <w:szCs w:val="24"/>
              </w:rPr>
            </w:pPr>
            <w:r w:rsidRPr="0050122D">
              <w:rPr>
                <w:sz w:val="24"/>
                <w:szCs w:val="24"/>
              </w:rPr>
              <w:t>0.10</w:t>
            </w:r>
          </w:p>
        </w:tc>
        <w:tc>
          <w:tcPr>
            <w:tcW w:w="780" w:type="pct"/>
          </w:tcPr>
          <w:p w14:paraId="77507DF9" w14:textId="77777777" w:rsidR="0050122D" w:rsidRPr="0050122D" w:rsidRDefault="0050122D" w:rsidP="0050122D">
            <w:pPr>
              <w:spacing w:before="60" w:after="60"/>
              <w:rPr>
                <w:sz w:val="24"/>
                <w:szCs w:val="24"/>
              </w:rPr>
            </w:pPr>
            <w:r w:rsidRPr="0050122D">
              <w:rPr>
                <w:sz w:val="24"/>
                <w:szCs w:val="24"/>
              </w:rPr>
              <w:t>14.2955</w:t>
            </w:r>
          </w:p>
        </w:tc>
        <w:tc>
          <w:tcPr>
            <w:tcW w:w="635" w:type="pct"/>
          </w:tcPr>
          <w:p w14:paraId="65FDACD8" w14:textId="77777777" w:rsidR="0050122D" w:rsidRPr="0050122D" w:rsidRDefault="0050122D" w:rsidP="0050122D">
            <w:pPr>
              <w:spacing w:before="60" w:after="60"/>
              <w:rPr>
                <w:sz w:val="24"/>
                <w:szCs w:val="24"/>
              </w:rPr>
            </w:pPr>
            <w:r w:rsidRPr="0050122D">
              <w:rPr>
                <w:sz w:val="24"/>
                <w:szCs w:val="24"/>
              </w:rPr>
              <w:t>0.5081</w:t>
            </w:r>
          </w:p>
        </w:tc>
        <w:tc>
          <w:tcPr>
            <w:tcW w:w="835" w:type="pct"/>
          </w:tcPr>
          <w:p w14:paraId="4FDCD02E" w14:textId="77777777" w:rsidR="0050122D" w:rsidRPr="0050122D" w:rsidRDefault="0050122D" w:rsidP="0050122D">
            <w:pPr>
              <w:spacing w:before="60" w:after="60"/>
              <w:rPr>
                <w:sz w:val="24"/>
                <w:szCs w:val="24"/>
              </w:rPr>
            </w:pPr>
            <w:r w:rsidRPr="0050122D">
              <w:rPr>
                <w:sz w:val="24"/>
                <w:szCs w:val="24"/>
              </w:rPr>
              <w:t>1.3861</w:t>
            </w:r>
          </w:p>
        </w:tc>
        <w:tc>
          <w:tcPr>
            <w:tcW w:w="668" w:type="pct"/>
          </w:tcPr>
          <w:p w14:paraId="652B5C43" w14:textId="77777777" w:rsidR="0050122D" w:rsidRPr="0050122D" w:rsidRDefault="0050122D" w:rsidP="0050122D">
            <w:pPr>
              <w:spacing w:before="60" w:after="60"/>
              <w:rPr>
                <w:sz w:val="24"/>
                <w:szCs w:val="24"/>
              </w:rPr>
            </w:pPr>
            <w:r w:rsidRPr="0050122D">
              <w:rPr>
                <w:sz w:val="24"/>
                <w:szCs w:val="24"/>
              </w:rPr>
              <w:t>0.0420**</w:t>
            </w:r>
          </w:p>
        </w:tc>
        <w:tc>
          <w:tcPr>
            <w:tcW w:w="780" w:type="pct"/>
          </w:tcPr>
          <w:p w14:paraId="4B7F513A" w14:textId="77777777" w:rsidR="0050122D" w:rsidRPr="0050122D" w:rsidRDefault="0050122D" w:rsidP="0050122D">
            <w:pPr>
              <w:spacing w:before="60" w:after="60"/>
              <w:rPr>
                <w:sz w:val="24"/>
                <w:szCs w:val="24"/>
              </w:rPr>
            </w:pPr>
            <w:r w:rsidRPr="0050122D">
              <w:rPr>
                <w:sz w:val="24"/>
                <w:szCs w:val="24"/>
              </w:rPr>
              <w:t>-3.0517</w:t>
            </w:r>
          </w:p>
        </w:tc>
        <w:tc>
          <w:tcPr>
            <w:tcW w:w="672" w:type="pct"/>
          </w:tcPr>
          <w:p w14:paraId="6E5C0492" w14:textId="77777777" w:rsidR="0050122D" w:rsidRPr="0050122D" w:rsidRDefault="0050122D" w:rsidP="0050122D">
            <w:pPr>
              <w:spacing w:before="60" w:after="60"/>
              <w:rPr>
                <w:sz w:val="24"/>
                <w:szCs w:val="24"/>
              </w:rPr>
            </w:pPr>
            <w:r w:rsidRPr="0050122D">
              <w:rPr>
                <w:sz w:val="24"/>
                <w:szCs w:val="24"/>
              </w:rPr>
              <w:t>0.4874</w:t>
            </w:r>
          </w:p>
        </w:tc>
      </w:tr>
      <w:tr w:rsidR="0050122D" w:rsidRPr="0050122D" w14:paraId="1A2B2275" w14:textId="77777777" w:rsidTr="0043536F">
        <w:tc>
          <w:tcPr>
            <w:tcW w:w="630" w:type="pct"/>
          </w:tcPr>
          <w:p w14:paraId="32641F6A" w14:textId="77777777" w:rsidR="0050122D" w:rsidRPr="0050122D" w:rsidRDefault="0050122D" w:rsidP="0050122D">
            <w:pPr>
              <w:spacing w:before="60" w:after="60"/>
              <w:rPr>
                <w:sz w:val="24"/>
                <w:szCs w:val="24"/>
              </w:rPr>
            </w:pPr>
            <w:r w:rsidRPr="0050122D">
              <w:rPr>
                <w:sz w:val="24"/>
                <w:szCs w:val="24"/>
              </w:rPr>
              <w:t>0.25</w:t>
            </w:r>
          </w:p>
        </w:tc>
        <w:tc>
          <w:tcPr>
            <w:tcW w:w="780" w:type="pct"/>
          </w:tcPr>
          <w:p w14:paraId="4615ED4A" w14:textId="77777777" w:rsidR="0050122D" w:rsidRPr="0050122D" w:rsidRDefault="0050122D" w:rsidP="0050122D">
            <w:pPr>
              <w:spacing w:before="60" w:after="60"/>
              <w:rPr>
                <w:sz w:val="24"/>
                <w:szCs w:val="24"/>
              </w:rPr>
            </w:pPr>
            <w:r w:rsidRPr="0050122D">
              <w:rPr>
                <w:sz w:val="24"/>
                <w:szCs w:val="24"/>
              </w:rPr>
              <w:t>13.0320</w:t>
            </w:r>
          </w:p>
        </w:tc>
        <w:tc>
          <w:tcPr>
            <w:tcW w:w="635" w:type="pct"/>
          </w:tcPr>
          <w:p w14:paraId="523D0A2C" w14:textId="77777777" w:rsidR="0050122D" w:rsidRPr="0050122D" w:rsidRDefault="0050122D" w:rsidP="0050122D">
            <w:pPr>
              <w:spacing w:before="60" w:after="60"/>
              <w:rPr>
                <w:sz w:val="24"/>
                <w:szCs w:val="24"/>
              </w:rPr>
            </w:pPr>
            <w:r w:rsidRPr="0050122D">
              <w:rPr>
                <w:sz w:val="24"/>
                <w:szCs w:val="24"/>
              </w:rPr>
              <w:t>0.3325</w:t>
            </w:r>
          </w:p>
        </w:tc>
        <w:tc>
          <w:tcPr>
            <w:tcW w:w="835" w:type="pct"/>
          </w:tcPr>
          <w:p w14:paraId="0ABC0F1B" w14:textId="77777777" w:rsidR="0050122D" w:rsidRPr="0050122D" w:rsidRDefault="0050122D" w:rsidP="0050122D">
            <w:pPr>
              <w:spacing w:before="60" w:after="60"/>
              <w:rPr>
                <w:sz w:val="24"/>
                <w:szCs w:val="24"/>
              </w:rPr>
            </w:pPr>
            <w:r w:rsidRPr="0050122D">
              <w:rPr>
                <w:sz w:val="24"/>
                <w:szCs w:val="24"/>
              </w:rPr>
              <w:t>1.2635</w:t>
            </w:r>
          </w:p>
        </w:tc>
        <w:tc>
          <w:tcPr>
            <w:tcW w:w="668" w:type="pct"/>
          </w:tcPr>
          <w:p w14:paraId="6B9C3F78" w14:textId="77777777" w:rsidR="0050122D" w:rsidRPr="0050122D" w:rsidRDefault="0050122D" w:rsidP="0050122D">
            <w:pPr>
              <w:spacing w:before="60" w:after="60"/>
              <w:rPr>
                <w:sz w:val="24"/>
                <w:szCs w:val="24"/>
              </w:rPr>
            </w:pPr>
            <w:r w:rsidRPr="0050122D">
              <w:rPr>
                <w:sz w:val="24"/>
                <w:szCs w:val="24"/>
              </w:rPr>
              <w:t>0.0142**</w:t>
            </w:r>
          </w:p>
        </w:tc>
        <w:tc>
          <w:tcPr>
            <w:tcW w:w="780" w:type="pct"/>
          </w:tcPr>
          <w:p w14:paraId="643BD56E" w14:textId="77777777" w:rsidR="0050122D" w:rsidRPr="0050122D" w:rsidRDefault="0050122D" w:rsidP="0050122D">
            <w:pPr>
              <w:spacing w:before="60" w:after="60"/>
              <w:rPr>
                <w:sz w:val="24"/>
                <w:szCs w:val="24"/>
              </w:rPr>
            </w:pPr>
            <w:r w:rsidRPr="0050122D">
              <w:rPr>
                <w:sz w:val="24"/>
                <w:szCs w:val="24"/>
              </w:rPr>
              <w:t>-2.7819</w:t>
            </w:r>
          </w:p>
        </w:tc>
        <w:tc>
          <w:tcPr>
            <w:tcW w:w="672" w:type="pct"/>
          </w:tcPr>
          <w:p w14:paraId="6677BA18" w14:textId="77777777" w:rsidR="0050122D" w:rsidRPr="0050122D" w:rsidRDefault="0050122D" w:rsidP="0050122D">
            <w:pPr>
              <w:spacing w:before="60" w:after="60"/>
              <w:rPr>
                <w:sz w:val="24"/>
                <w:szCs w:val="24"/>
              </w:rPr>
            </w:pPr>
            <w:r w:rsidRPr="0050122D">
              <w:rPr>
                <w:sz w:val="24"/>
                <w:szCs w:val="24"/>
              </w:rPr>
              <w:t>0.2936</w:t>
            </w:r>
          </w:p>
        </w:tc>
      </w:tr>
      <w:tr w:rsidR="0050122D" w:rsidRPr="0050122D" w14:paraId="0E7273B2" w14:textId="77777777" w:rsidTr="0043536F">
        <w:tc>
          <w:tcPr>
            <w:tcW w:w="630" w:type="pct"/>
          </w:tcPr>
          <w:p w14:paraId="03D5A006" w14:textId="77777777" w:rsidR="0050122D" w:rsidRPr="0050122D" w:rsidRDefault="0050122D" w:rsidP="0050122D">
            <w:pPr>
              <w:spacing w:before="60" w:after="60"/>
              <w:rPr>
                <w:sz w:val="24"/>
                <w:szCs w:val="24"/>
              </w:rPr>
            </w:pPr>
            <w:r w:rsidRPr="0050122D">
              <w:rPr>
                <w:sz w:val="24"/>
                <w:szCs w:val="24"/>
              </w:rPr>
              <w:t>0.40</w:t>
            </w:r>
          </w:p>
        </w:tc>
        <w:tc>
          <w:tcPr>
            <w:tcW w:w="780" w:type="pct"/>
          </w:tcPr>
          <w:p w14:paraId="3568BE87" w14:textId="77777777" w:rsidR="0050122D" w:rsidRPr="0050122D" w:rsidRDefault="0050122D" w:rsidP="0050122D">
            <w:pPr>
              <w:spacing w:before="60" w:after="60"/>
              <w:rPr>
                <w:sz w:val="24"/>
                <w:szCs w:val="24"/>
              </w:rPr>
            </w:pPr>
            <w:r w:rsidRPr="0050122D">
              <w:rPr>
                <w:sz w:val="24"/>
                <w:szCs w:val="24"/>
              </w:rPr>
              <w:t>11.5565</w:t>
            </w:r>
          </w:p>
        </w:tc>
        <w:tc>
          <w:tcPr>
            <w:tcW w:w="635" w:type="pct"/>
          </w:tcPr>
          <w:p w14:paraId="0E620B4D" w14:textId="77777777" w:rsidR="0050122D" w:rsidRPr="0050122D" w:rsidRDefault="0050122D" w:rsidP="0050122D">
            <w:pPr>
              <w:spacing w:before="60" w:after="60"/>
              <w:rPr>
                <w:sz w:val="24"/>
                <w:szCs w:val="24"/>
              </w:rPr>
            </w:pPr>
            <w:r w:rsidRPr="0050122D">
              <w:rPr>
                <w:sz w:val="24"/>
                <w:szCs w:val="24"/>
              </w:rPr>
              <w:t>0.3182</w:t>
            </w:r>
          </w:p>
        </w:tc>
        <w:tc>
          <w:tcPr>
            <w:tcW w:w="835" w:type="pct"/>
          </w:tcPr>
          <w:p w14:paraId="62583CAC" w14:textId="77777777" w:rsidR="0050122D" w:rsidRPr="0050122D" w:rsidRDefault="0050122D" w:rsidP="0050122D">
            <w:pPr>
              <w:spacing w:before="60" w:after="60"/>
              <w:rPr>
                <w:sz w:val="24"/>
                <w:szCs w:val="24"/>
              </w:rPr>
            </w:pPr>
            <w:r w:rsidRPr="0050122D">
              <w:rPr>
                <w:sz w:val="24"/>
                <w:szCs w:val="24"/>
              </w:rPr>
              <w:t>1.2856</w:t>
            </w:r>
          </w:p>
        </w:tc>
        <w:tc>
          <w:tcPr>
            <w:tcW w:w="668" w:type="pct"/>
          </w:tcPr>
          <w:p w14:paraId="6E1C790F" w14:textId="77777777" w:rsidR="0050122D" w:rsidRPr="0050122D" w:rsidRDefault="0050122D" w:rsidP="0050122D">
            <w:pPr>
              <w:spacing w:before="60" w:after="60"/>
              <w:rPr>
                <w:sz w:val="24"/>
                <w:szCs w:val="24"/>
              </w:rPr>
            </w:pPr>
            <w:r w:rsidRPr="0050122D">
              <w:rPr>
                <w:sz w:val="24"/>
                <w:szCs w:val="24"/>
              </w:rPr>
              <w:t>0.0053***</w:t>
            </w:r>
          </w:p>
        </w:tc>
        <w:tc>
          <w:tcPr>
            <w:tcW w:w="780" w:type="pct"/>
          </w:tcPr>
          <w:p w14:paraId="555D27D6" w14:textId="77777777" w:rsidR="0050122D" w:rsidRPr="0050122D" w:rsidRDefault="0050122D" w:rsidP="0050122D">
            <w:pPr>
              <w:spacing w:before="60" w:after="60"/>
              <w:rPr>
                <w:sz w:val="24"/>
                <w:szCs w:val="24"/>
              </w:rPr>
            </w:pPr>
            <w:r w:rsidRPr="0050122D">
              <w:rPr>
                <w:sz w:val="24"/>
                <w:szCs w:val="24"/>
              </w:rPr>
              <w:t>-4.1116</w:t>
            </w:r>
          </w:p>
        </w:tc>
        <w:tc>
          <w:tcPr>
            <w:tcW w:w="672" w:type="pct"/>
          </w:tcPr>
          <w:p w14:paraId="71CE3274" w14:textId="77777777" w:rsidR="0050122D" w:rsidRPr="0050122D" w:rsidRDefault="0050122D" w:rsidP="0050122D">
            <w:pPr>
              <w:spacing w:before="60" w:after="60"/>
              <w:rPr>
                <w:sz w:val="24"/>
                <w:szCs w:val="24"/>
              </w:rPr>
            </w:pPr>
            <w:r w:rsidRPr="0050122D">
              <w:rPr>
                <w:sz w:val="24"/>
                <w:szCs w:val="24"/>
              </w:rPr>
              <w:t>0.0626*</w:t>
            </w:r>
          </w:p>
        </w:tc>
      </w:tr>
      <w:tr w:rsidR="0050122D" w:rsidRPr="0050122D" w14:paraId="6A74257F" w14:textId="77777777" w:rsidTr="0043536F">
        <w:tc>
          <w:tcPr>
            <w:tcW w:w="630" w:type="pct"/>
          </w:tcPr>
          <w:p w14:paraId="57CD2856" w14:textId="77777777" w:rsidR="0050122D" w:rsidRPr="0050122D" w:rsidRDefault="0050122D" w:rsidP="0050122D">
            <w:pPr>
              <w:spacing w:before="60" w:after="60"/>
              <w:rPr>
                <w:sz w:val="24"/>
                <w:szCs w:val="24"/>
              </w:rPr>
            </w:pPr>
            <w:r w:rsidRPr="0050122D">
              <w:rPr>
                <w:sz w:val="24"/>
                <w:szCs w:val="24"/>
              </w:rPr>
              <w:t>0.50</w:t>
            </w:r>
          </w:p>
        </w:tc>
        <w:tc>
          <w:tcPr>
            <w:tcW w:w="780" w:type="pct"/>
          </w:tcPr>
          <w:p w14:paraId="74915FAE" w14:textId="77777777" w:rsidR="0050122D" w:rsidRPr="0050122D" w:rsidRDefault="0050122D" w:rsidP="0050122D">
            <w:pPr>
              <w:spacing w:before="60" w:after="60"/>
              <w:rPr>
                <w:sz w:val="24"/>
                <w:szCs w:val="24"/>
              </w:rPr>
            </w:pPr>
            <w:r w:rsidRPr="0050122D">
              <w:rPr>
                <w:sz w:val="24"/>
                <w:szCs w:val="24"/>
              </w:rPr>
              <w:t>11.7485</w:t>
            </w:r>
          </w:p>
        </w:tc>
        <w:tc>
          <w:tcPr>
            <w:tcW w:w="635" w:type="pct"/>
          </w:tcPr>
          <w:p w14:paraId="08107A65" w14:textId="77777777" w:rsidR="0050122D" w:rsidRPr="0050122D" w:rsidRDefault="0050122D" w:rsidP="0050122D">
            <w:pPr>
              <w:spacing w:before="60" w:after="60"/>
              <w:rPr>
                <w:sz w:val="24"/>
                <w:szCs w:val="24"/>
              </w:rPr>
            </w:pPr>
            <w:r w:rsidRPr="0050122D">
              <w:rPr>
                <w:sz w:val="24"/>
                <w:szCs w:val="24"/>
              </w:rPr>
              <w:t>0.3093</w:t>
            </w:r>
          </w:p>
        </w:tc>
        <w:tc>
          <w:tcPr>
            <w:tcW w:w="835" w:type="pct"/>
          </w:tcPr>
          <w:p w14:paraId="7B34229F" w14:textId="77777777" w:rsidR="0050122D" w:rsidRPr="0050122D" w:rsidRDefault="0050122D" w:rsidP="0050122D">
            <w:pPr>
              <w:spacing w:before="60" w:after="60"/>
              <w:rPr>
                <w:sz w:val="24"/>
                <w:szCs w:val="24"/>
              </w:rPr>
            </w:pPr>
            <w:r w:rsidRPr="0050122D">
              <w:rPr>
                <w:sz w:val="24"/>
                <w:szCs w:val="24"/>
              </w:rPr>
              <w:t>1.2736</w:t>
            </w:r>
          </w:p>
        </w:tc>
        <w:tc>
          <w:tcPr>
            <w:tcW w:w="668" w:type="pct"/>
          </w:tcPr>
          <w:p w14:paraId="1A2114DE" w14:textId="77777777" w:rsidR="0050122D" w:rsidRPr="0050122D" w:rsidRDefault="0050122D" w:rsidP="0050122D">
            <w:pPr>
              <w:spacing w:before="60" w:after="60"/>
              <w:rPr>
                <w:sz w:val="24"/>
                <w:szCs w:val="24"/>
              </w:rPr>
            </w:pPr>
            <w:r w:rsidRPr="0050122D">
              <w:rPr>
                <w:sz w:val="24"/>
                <w:szCs w:val="24"/>
              </w:rPr>
              <w:t>0.0054***</w:t>
            </w:r>
          </w:p>
        </w:tc>
        <w:tc>
          <w:tcPr>
            <w:tcW w:w="780" w:type="pct"/>
          </w:tcPr>
          <w:p w14:paraId="022A39BB" w14:textId="77777777" w:rsidR="0050122D" w:rsidRPr="0050122D" w:rsidRDefault="0050122D" w:rsidP="0050122D">
            <w:pPr>
              <w:spacing w:before="60" w:after="60"/>
              <w:rPr>
                <w:sz w:val="24"/>
                <w:szCs w:val="24"/>
              </w:rPr>
            </w:pPr>
            <w:r w:rsidRPr="0050122D">
              <w:rPr>
                <w:sz w:val="24"/>
                <w:szCs w:val="24"/>
              </w:rPr>
              <w:t>-4.1565</w:t>
            </w:r>
          </w:p>
        </w:tc>
        <w:tc>
          <w:tcPr>
            <w:tcW w:w="672" w:type="pct"/>
          </w:tcPr>
          <w:p w14:paraId="28F56D70" w14:textId="77777777" w:rsidR="0050122D" w:rsidRPr="0050122D" w:rsidRDefault="0050122D" w:rsidP="0050122D">
            <w:pPr>
              <w:spacing w:before="60" w:after="60"/>
              <w:rPr>
                <w:sz w:val="24"/>
                <w:szCs w:val="24"/>
              </w:rPr>
            </w:pPr>
            <w:r w:rsidRPr="0050122D">
              <w:rPr>
                <w:sz w:val="24"/>
                <w:szCs w:val="24"/>
              </w:rPr>
              <w:t>0.0587*</w:t>
            </w:r>
          </w:p>
        </w:tc>
      </w:tr>
      <w:tr w:rsidR="0050122D" w:rsidRPr="0050122D" w14:paraId="09215F86" w14:textId="77777777" w:rsidTr="0043536F">
        <w:tc>
          <w:tcPr>
            <w:tcW w:w="630" w:type="pct"/>
          </w:tcPr>
          <w:p w14:paraId="04CF78BE" w14:textId="77777777" w:rsidR="0050122D" w:rsidRPr="0050122D" w:rsidRDefault="0050122D" w:rsidP="0050122D">
            <w:pPr>
              <w:spacing w:before="60" w:after="60"/>
              <w:rPr>
                <w:sz w:val="24"/>
                <w:szCs w:val="24"/>
              </w:rPr>
            </w:pPr>
            <w:r w:rsidRPr="0050122D">
              <w:rPr>
                <w:sz w:val="24"/>
                <w:szCs w:val="24"/>
              </w:rPr>
              <w:t>0.60</w:t>
            </w:r>
          </w:p>
        </w:tc>
        <w:tc>
          <w:tcPr>
            <w:tcW w:w="780" w:type="pct"/>
          </w:tcPr>
          <w:p w14:paraId="2657D150" w14:textId="77777777" w:rsidR="0050122D" w:rsidRPr="0050122D" w:rsidRDefault="0050122D" w:rsidP="0050122D">
            <w:pPr>
              <w:spacing w:before="60" w:after="60"/>
              <w:rPr>
                <w:sz w:val="24"/>
                <w:szCs w:val="24"/>
              </w:rPr>
            </w:pPr>
            <w:r w:rsidRPr="0050122D">
              <w:rPr>
                <w:sz w:val="24"/>
                <w:szCs w:val="24"/>
              </w:rPr>
              <w:t>15.3297</w:t>
            </w:r>
          </w:p>
        </w:tc>
        <w:tc>
          <w:tcPr>
            <w:tcW w:w="635" w:type="pct"/>
          </w:tcPr>
          <w:p w14:paraId="1205BE0F" w14:textId="77777777" w:rsidR="0050122D" w:rsidRPr="0050122D" w:rsidRDefault="0050122D" w:rsidP="0050122D">
            <w:pPr>
              <w:spacing w:before="60" w:after="60"/>
              <w:rPr>
                <w:sz w:val="24"/>
                <w:szCs w:val="24"/>
              </w:rPr>
            </w:pPr>
            <w:r w:rsidRPr="0050122D">
              <w:rPr>
                <w:sz w:val="24"/>
                <w:szCs w:val="24"/>
              </w:rPr>
              <w:t>0.2301</w:t>
            </w:r>
          </w:p>
        </w:tc>
        <w:tc>
          <w:tcPr>
            <w:tcW w:w="835" w:type="pct"/>
          </w:tcPr>
          <w:p w14:paraId="015910AE" w14:textId="77777777" w:rsidR="0050122D" w:rsidRPr="0050122D" w:rsidRDefault="0050122D" w:rsidP="0050122D">
            <w:pPr>
              <w:spacing w:before="60" w:after="60"/>
              <w:rPr>
                <w:sz w:val="24"/>
                <w:szCs w:val="24"/>
              </w:rPr>
            </w:pPr>
            <w:r w:rsidRPr="0050122D">
              <w:rPr>
                <w:sz w:val="24"/>
                <w:szCs w:val="24"/>
              </w:rPr>
              <w:t>1.1968</w:t>
            </w:r>
          </w:p>
        </w:tc>
        <w:tc>
          <w:tcPr>
            <w:tcW w:w="668" w:type="pct"/>
          </w:tcPr>
          <w:p w14:paraId="50E1A4C6" w14:textId="77777777" w:rsidR="0050122D" w:rsidRPr="0050122D" w:rsidRDefault="0050122D" w:rsidP="0050122D">
            <w:pPr>
              <w:spacing w:before="60" w:after="60"/>
              <w:rPr>
                <w:sz w:val="24"/>
                <w:szCs w:val="24"/>
              </w:rPr>
            </w:pPr>
            <w:r w:rsidRPr="0050122D">
              <w:rPr>
                <w:sz w:val="24"/>
                <w:szCs w:val="24"/>
              </w:rPr>
              <w:t>0.0109**</w:t>
            </w:r>
          </w:p>
        </w:tc>
        <w:tc>
          <w:tcPr>
            <w:tcW w:w="780" w:type="pct"/>
          </w:tcPr>
          <w:p w14:paraId="7B7B174B" w14:textId="77777777" w:rsidR="0050122D" w:rsidRPr="0050122D" w:rsidRDefault="0050122D" w:rsidP="0050122D">
            <w:pPr>
              <w:spacing w:before="60" w:after="60"/>
              <w:rPr>
                <w:sz w:val="24"/>
                <w:szCs w:val="24"/>
              </w:rPr>
            </w:pPr>
            <w:r w:rsidRPr="0050122D">
              <w:rPr>
                <w:sz w:val="24"/>
                <w:szCs w:val="24"/>
              </w:rPr>
              <w:t>-4.5642</w:t>
            </w:r>
          </w:p>
        </w:tc>
        <w:tc>
          <w:tcPr>
            <w:tcW w:w="672" w:type="pct"/>
          </w:tcPr>
          <w:p w14:paraId="3C399BF8" w14:textId="77777777" w:rsidR="0050122D" w:rsidRPr="0050122D" w:rsidRDefault="0050122D" w:rsidP="0050122D">
            <w:pPr>
              <w:spacing w:before="60" w:after="60"/>
              <w:rPr>
                <w:sz w:val="24"/>
                <w:szCs w:val="24"/>
              </w:rPr>
            </w:pPr>
            <w:r w:rsidRPr="0050122D">
              <w:rPr>
                <w:sz w:val="24"/>
                <w:szCs w:val="24"/>
              </w:rPr>
              <w:t>0.0486**</w:t>
            </w:r>
          </w:p>
        </w:tc>
      </w:tr>
      <w:tr w:rsidR="0050122D" w:rsidRPr="0050122D" w14:paraId="0D0762C6" w14:textId="77777777" w:rsidTr="0043536F">
        <w:tc>
          <w:tcPr>
            <w:tcW w:w="630" w:type="pct"/>
          </w:tcPr>
          <w:p w14:paraId="605A56C5" w14:textId="77777777" w:rsidR="0050122D" w:rsidRPr="0050122D" w:rsidRDefault="0050122D" w:rsidP="0050122D">
            <w:pPr>
              <w:spacing w:before="60" w:after="60"/>
              <w:rPr>
                <w:sz w:val="24"/>
                <w:szCs w:val="24"/>
              </w:rPr>
            </w:pPr>
            <w:bookmarkStart w:id="89" w:name="_Hlk176782329"/>
            <w:r w:rsidRPr="0050122D">
              <w:rPr>
                <w:sz w:val="24"/>
                <w:szCs w:val="24"/>
              </w:rPr>
              <w:t>0.75</w:t>
            </w:r>
            <w:bookmarkEnd w:id="89"/>
          </w:p>
        </w:tc>
        <w:tc>
          <w:tcPr>
            <w:tcW w:w="780" w:type="pct"/>
          </w:tcPr>
          <w:p w14:paraId="04BF9B29" w14:textId="77777777" w:rsidR="0050122D" w:rsidRPr="0050122D" w:rsidRDefault="0050122D" w:rsidP="0050122D">
            <w:pPr>
              <w:spacing w:before="60" w:after="60"/>
              <w:rPr>
                <w:sz w:val="24"/>
                <w:szCs w:val="24"/>
              </w:rPr>
            </w:pPr>
            <w:r w:rsidRPr="0050122D">
              <w:rPr>
                <w:sz w:val="24"/>
                <w:szCs w:val="24"/>
              </w:rPr>
              <w:t>8.9333</w:t>
            </w:r>
          </w:p>
        </w:tc>
        <w:tc>
          <w:tcPr>
            <w:tcW w:w="635" w:type="pct"/>
          </w:tcPr>
          <w:p w14:paraId="45B03455" w14:textId="77777777" w:rsidR="0050122D" w:rsidRPr="0050122D" w:rsidRDefault="0050122D" w:rsidP="0050122D">
            <w:pPr>
              <w:spacing w:before="60" w:after="60"/>
              <w:rPr>
                <w:sz w:val="24"/>
                <w:szCs w:val="24"/>
              </w:rPr>
            </w:pPr>
            <w:r w:rsidRPr="0050122D">
              <w:rPr>
                <w:sz w:val="24"/>
                <w:szCs w:val="24"/>
              </w:rPr>
              <w:t>0.4496</w:t>
            </w:r>
          </w:p>
        </w:tc>
        <w:tc>
          <w:tcPr>
            <w:tcW w:w="835" w:type="pct"/>
          </w:tcPr>
          <w:p w14:paraId="13D482D0" w14:textId="77777777" w:rsidR="0050122D" w:rsidRPr="0050122D" w:rsidRDefault="0050122D" w:rsidP="0050122D">
            <w:pPr>
              <w:spacing w:before="60" w:after="60"/>
              <w:rPr>
                <w:sz w:val="24"/>
                <w:szCs w:val="24"/>
              </w:rPr>
            </w:pPr>
            <w:r w:rsidRPr="0050122D">
              <w:rPr>
                <w:sz w:val="24"/>
                <w:szCs w:val="24"/>
              </w:rPr>
              <w:t>0.9426</w:t>
            </w:r>
          </w:p>
        </w:tc>
        <w:tc>
          <w:tcPr>
            <w:tcW w:w="668" w:type="pct"/>
          </w:tcPr>
          <w:p w14:paraId="5AAB288C" w14:textId="77777777" w:rsidR="0050122D" w:rsidRPr="0050122D" w:rsidRDefault="0050122D" w:rsidP="0050122D">
            <w:pPr>
              <w:spacing w:before="60" w:after="60"/>
              <w:rPr>
                <w:sz w:val="24"/>
                <w:szCs w:val="24"/>
              </w:rPr>
            </w:pPr>
            <w:r w:rsidRPr="0050122D">
              <w:rPr>
                <w:sz w:val="24"/>
                <w:szCs w:val="24"/>
              </w:rPr>
              <w:t>0.0258**</w:t>
            </w:r>
          </w:p>
        </w:tc>
        <w:tc>
          <w:tcPr>
            <w:tcW w:w="780" w:type="pct"/>
          </w:tcPr>
          <w:p w14:paraId="733F6B88" w14:textId="77777777" w:rsidR="0050122D" w:rsidRPr="0050122D" w:rsidRDefault="0050122D" w:rsidP="0050122D">
            <w:pPr>
              <w:spacing w:before="60" w:after="60"/>
              <w:rPr>
                <w:sz w:val="24"/>
                <w:szCs w:val="24"/>
              </w:rPr>
            </w:pPr>
            <w:r w:rsidRPr="0050122D">
              <w:rPr>
                <w:sz w:val="24"/>
                <w:szCs w:val="24"/>
              </w:rPr>
              <w:t>-</w:t>
            </w:r>
            <w:bookmarkStart w:id="90" w:name="_Hlk176784915"/>
            <w:r w:rsidRPr="0050122D">
              <w:rPr>
                <w:sz w:val="24"/>
                <w:szCs w:val="24"/>
              </w:rPr>
              <w:t>5.8554</w:t>
            </w:r>
            <w:bookmarkEnd w:id="90"/>
          </w:p>
        </w:tc>
        <w:tc>
          <w:tcPr>
            <w:tcW w:w="672" w:type="pct"/>
          </w:tcPr>
          <w:p w14:paraId="630D3717" w14:textId="77777777" w:rsidR="0050122D" w:rsidRPr="0050122D" w:rsidRDefault="0050122D" w:rsidP="0050122D">
            <w:pPr>
              <w:spacing w:before="60" w:after="60"/>
              <w:rPr>
                <w:sz w:val="24"/>
                <w:szCs w:val="24"/>
              </w:rPr>
            </w:pPr>
            <w:r w:rsidRPr="0050122D">
              <w:rPr>
                <w:sz w:val="24"/>
                <w:szCs w:val="24"/>
              </w:rPr>
              <w:t>0.0094***</w:t>
            </w:r>
          </w:p>
        </w:tc>
      </w:tr>
      <w:tr w:rsidR="0050122D" w:rsidRPr="0050122D" w14:paraId="60035360" w14:textId="77777777" w:rsidTr="0043536F">
        <w:tc>
          <w:tcPr>
            <w:tcW w:w="630" w:type="pct"/>
          </w:tcPr>
          <w:p w14:paraId="6F64EB3E" w14:textId="77777777" w:rsidR="0050122D" w:rsidRPr="0050122D" w:rsidRDefault="0050122D" w:rsidP="0050122D">
            <w:pPr>
              <w:spacing w:before="60" w:after="60"/>
              <w:rPr>
                <w:sz w:val="24"/>
                <w:szCs w:val="24"/>
              </w:rPr>
            </w:pPr>
            <w:r w:rsidRPr="0050122D">
              <w:rPr>
                <w:sz w:val="24"/>
                <w:szCs w:val="24"/>
              </w:rPr>
              <w:t>0.90</w:t>
            </w:r>
          </w:p>
        </w:tc>
        <w:tc>
          <w:tcPr>
            <w:tcW w:w="780" w:type="pct"/>
          </w:tcPr>
          <w:p w14:paraId="0DA194E6" w14:textId="77777777" w:rsidR="0050122D" w:rsidRPr="0050122D" w:rsidRDefault="0050122D" w:rsidP="0050122D">
            <w:pPr>
              <w:spacing w:before="60" w:after="60"/>
              <w:rPr>
                <w:sz w:val="24"/>
                <w:szCs w:val="24"/>
              </w:rPr>
            </w:pPr>
            <w:r w:rsidRPr="0050122D">
              <w:rPr>
                <w:sz w:val="24"/>
                <w:szCs w:val="24"/>
              </w:rPr>
              <w:t>10.7829</w:t>
            </w:r>
          </w:p>
        </w:tc>
        <w:tc>
          <w:tcPr>
            <w:tcW w:w="635" w:type="pct"/>
          </w:tcPr>
          <w:p w14:paraId="0AD9FA46" w14:textId="77777777" w:rsidR="0050122D" w:rsidRPr="0050122D" w:rsidRDefault="0050122D" w:rsidP="0050122D">
            <w:pPr>
              <w:spacing w:before="60" w:after="60"/>
              <w:rPr>
                <w:sz w:val="24"/>
                <w:szCs w:val="24"/>
              </w:rPr>
            </w:pPr>
            <w:r w:rsidRPr="0050122D">
              <w:rPr>
                <w:sz w:val="24"/>
                <w:szCs w:val="24"/>
              </w:rPr>
              <w:t>0.5610</w:t>
            </w:r>
          </w:p>
        </w:tc>
        <w:tc>
          <w:tcPr>
            <w:tcW w:w="835" w:type="pct"/>
          </w:tcPr>
          <w:p w14:paraId="6763042D" w14:textId="77777777" w:rsidR="0050122D" w:rsidRPr="0050122D" w:rsidRDefault="0050122D" w:rsidP="0050122D">
            <w:pPr>
              <w:spacing w:before="60" w:after="60"/>
              <w:rPr>
                <w:sz w:val="24"/>
                <w:szCs w:val="24"/>
              </w:rPr>
            </w:pPr>
            <w:r w:rsidRPr="0050122D">
              <w:rPr>
                <w:sz w:val="24"/>
                <w:szCs w:val="24"/>
              </w:rPr>
              <w:t>1.2059</w:t>
            </w:r>
          </w:p>
        </w:tc>
        <w:tc>
          <w:tcPr>
            <w:tcW w:w="668" w:type="pct"/>
          </w:tcPr>
          <w:p w14:paraId="5CA42DC1" w14:textId="77777777" w:rsidR="0050122D" w:rsidRPr="0050122D" w:rsidRDefault="0050122D" w:rsidP="0050122D">
            <w:pPr>
              <w:spacing w:before="60" w:after="60"/>
              <w:rPr>
                <w:sz w:val="24"/>
                <w:szCs w:val="24"/>
              </w:rPr>
            </w:pPr>
            <w:r w:rsidRPr="0050122D">
              <w:rPr>
                <w:sz w:val="24"/>
                <w:szCs w:val="24"/>
              </w:rPr>
              <w:t>0.0818*</w:t>
            </w:r>
          </w:p>
        </w:tc>
        <w:tc>
          <w:tcPr>
            <w:tcW w:w="780" w:type="pct"/>
          </w:tcPr>
          <w:p w14:paraId="217C252C" w14:textId="77777777" w:rsidR="0050122D" w:rsidRPr="0050122D" w:rsidRDefault="0050122D" w:rsidP="0050122D">
            <w:pPr>
              <w:spacing w:before="60" w:after="60"/>
              <w:rPr>
                <w:sz w:val="24"/>
                <w:szCs w:val="24"/>
              </w:rPr>
            </w:pPr>
            <w:r w:rsidRPr="0050122D">
              <w:rPr>
                <w:sz w:val="24"/>
                <w:szCs w:val="24"/>
              </w:rPr>
              <w:t>-6.9684</w:t>
            </w:r>
          </w:p>
        </w:tc>
        <w:tc>
          <w:tcPr>
            <w:tcW w:w="672" w:type="pct"/>
          </w:tcPr>
          <w:p w14:paraId="32AADD94" w14:textId="77777777" w:rsidR="0050122D" w:rsidRPr="0050122D" w:rsidRDefault="0050122D" w:rsidP="0050122D">
            <w:pPr>
              <w:spacing w:before="60" w:after="60"/>
              <w:rPr>
                <w:sz w:val="24"/>
                <w:szCs w:val="24"/>
              </w:rPr>
            </w:pPr>
            <w:r w:rsidRPr="0050122D">
              <w:rPr>
                <w:sz w:val="24"/>
                <w:szCs w:val="24"/>
              </w:rPr>
              <w:t>0.1535</w:t>
            </w:r>
          </w:p>
        </w:tc>
      </w:tr>
      <w:tr w:rsidR="0050122D" w:rsidRPr="0050122D" w14:paraId="369C5AA3" w14:textId="77777777" w:rsidTr="0043536F">
        <w:tc>
          <w:tcPr>
            <w:tcW w:w="5000" w:type="pct"/>
            <w:gridSpan w:val="7"/>
          </w:tcPr>
          <w:p w14:paraId="7AA27731" w14:textId="77777777" w:rsidR="0050122D" w:rsidRPr="0050122D" w:rsidRDefault="0050122D" w:rsidP="0050122D">
            <w:pPr>
              <w:spacing w:before="60" w:after="60"/>
              <w:rPr>
                <w:sz w:val="24"/>
                <w:szCs w:val="24"/>
              </w:rPr>
            </w:pPr>
            <w:r w:rsidRPr="0050122D">
              <w:rPr>
                <w:sz w:val="24"/>
                <w:szCs w:val="24"/>
              </w:rPr>
              <w:t>*</w:t>
            </w:r>
            <w:r w:rsidRPr="0050122D">
              <w:rPr>
                <w:sz w:val="24"/>
                <w:szCs w:val="24"/>
              </w:rPr>
              <w:tab/>
              <w:t>Statistically significant at 10% level</w:t>
            </w:r>
          </w:p>
          <w:p w14:paraId="45C39387" w14:textId="77777777" w:rsidR="0050122D" w:rsidRPr="0050122D" w:rsidRDefault="0050122D" w:rsidP="0050122D">
            <w:pPr>
              <w:spacing w:before="60" w:after="60"/>
              <w:rPr>
                <w:sz w:val="24"/>
                <w:szCs w:val="24"/>
              </w:rPr>
            </w:pPr>
            <w:r w:rsidRPr="0050122D">
              <w:rPr>
                <w:sz w:val="24"/>
                <w:szCs w:val="24"/>
              </w:rPr>
              <w:t>**</w:t>
            </w:r>
            <w:r w:rsidRPr="0050122D">
              <w:rPr>
                <w:sz w:val="24"/>
                <w:szCs w:val="24"/>
              </w:rPr>
              <w:tab/>
              <w:t>Statistically significant at 5% level</w:t>
            </w:r>
          </w:p>
          <w:p w14:paraId="7AFF7E47" w14:textId="77777777" w:rsidR="0050122D" w:rsidRPr="0050122D" w:rsidRDefault="0050122D" w:rsidP="0050122D">
            <w:pPr>
              <w:spacing w:before="60" w:after="60"/>
              <w:rPr>
                <w:sz w:val="24"/>
                <w:szCs w:val="24"/>
              </w:rPr>
            </w:pPr>
            <w:r w:rsidRPr="0050122D">
              <w:rPr>
                <w:sz w:val="24"/>
                <w:szCs w:val="24"/>
              </w:rPr>
              <w:t>***</w:t>
            </w:r>
            <w:r w:rsidRPr="0050122D">
              <w:rPr>
                <w:sz w:val="24"/>
                <w:szCs w:val="24"/>
              </w:rPr>
              <w:tab/>
              <w:t>Statistically significant at 1% level</w:t>
            </w:r>
          </w:p>
        </w:tc>
      </w:tr>
    </w:tbl>
    <w:bookmarkEnd w:id="88"/>
    <w:p w14:paraId="274DE7F9" w14:textId="77777777" w:rsidR="0050122D" w:rsidRPr="0050122D" w:rsidRDefault="0050122D" w:rsidP="0050122D">
      <w:pPr>
        <w:spacing w:before="60" w:after="240" w:line="360" w:lineRule="auto"/>
        <w:rPr>
          <w:rFonts w:ascii="Times New Roman" w:eastAsia="Times New Roman" w:hAnsi="Times New Roman" w:cs="Times New Roman"/>
          <w:i/>
          <w:kern w:val="0"/>
          <w:sz w:val="24"/>
          <w:szCs w:val="24"/>
          <w14:ligatures w14:val="none"/>
        </w:rPr>
      </w:pPr>
      <w:r w:rsidRPr="0050122D">
        <w:rPr>
          <w:rFonts w:ascii="Times New Roman" w:eastAsia="Times New Roman" w:hAnsi="Times New Roman" w:cs="Times New Roman"/>
          <w:i/>
          <w:kern w:val="0"/>
          <w:sz w:val="24"/>
          <w:szCs w:val="24"/>
          <w14:ligatures w14:val="none"/>
        </w:rPr>
        <w:t>Source: Authors own computation using E-views 14</w:t>
      </w:r>
    </w:p>
    <w:p w14:paraId="72C8FD3E"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This also implies a positive relationship between household disposable income and household consumption in the middle quantiles, in the long run. Table 6 further demonstrates that disposable income is statistically significant at the 5% level in the upper quantiles and has a positive coefficient, which indicates household disposable income and household consumption are positively related in the long run.</w:t>
      </w:r>
      <w:r w:rsidRPr="0050122D">
        <w:rPr>
          <w:rFonts w:ascii="Times New Roman" w:eastAsia="Aptos" w:hAnsi="Times New Roman" w:cs="Times New Roman"/>
          <w:sz w:val="24"/>
          <w:szCs w:val="24"/>
        </w:rPr>
        <w:t xml:space="preserve"> The results are in line with </w:t>
      </w:r>
      <w:r w:rsidRPr="0050122D">
        <w:rPr>
          <w:rFonts w:ascii="Times New Roman" w:eastAsia="Times New Roman" w:hAnsi="Times New Roman" w:cs="Times New Roman"/>
          <w:kern w:val="0"/>
          <w:sz w:val="24"/>
          <w:szCs w:val="24"/>
          <w14:ligatures w14:val="none"/>
        </w:rPr>
        <w:t>Ruan and Yan (2022) and</w:t>
      </w:r>
      <w:r w:rsidRPr="0050122D">
        <w:rPr>
          <w:rFonts w:ascii="Times New Roman" w:eastAsia="Times New Roman" w:hAnsi="Times New Roman" w:cs="Times New Roman"/>
          <w:kern w:val="0"/>
          <w:sz w:val="24"/>
          <w:szCs w:val="24"/>
          <w:shd w:val="clear" w:color="auto" w:fill="FFFFFF"/>
          <w14:ligatures w14:val="none"/>
        </w:rPr>
        <w:t xml:space="preserve"> </w:t>
      </w:r>
      <w:r w:rsidRPr="0050122D">
        <w:rPr>
          <w:rFonts w:ascii="Times New Roman" w:eastAsia="Times New Roman" w:hAnsi="Times New Roman" w:cs="Times New Roman"/>
          <w:kern w:val="0"/>
          <w:sz w:val="24"/>
          <w:szCs w:val="24"/>
          <w14:ligatures w14:val="none"/>
        </w:rPr>
        <w:t xml:space="preserve">Sulistyowati </w:t>
      </w:r>
      <w:r w:rsidRPr="0050122D">
        <w:rPr>
          <w:rFonts w:ascii="Times New Roman" w:eastAsia="Times New Roman" w:hAnsi="Times New Roman" w:cs="Times New Roman"/>
          <w:i/>
          <w:iCs/>
          <w:kern w:val="0"/>
          <w:sz w:val="24"/>
          <w:szCs w:val="24"/>
          <w14:ligatures w14:val="none"/>
        </w:rPr>
        <w:t>et al.</w:t>
      </w:r>
      <w:r w:rsidRPr="0050122D">
        <w:rPr>
          <w:rFonts w:ascii="Times New Roman" w:eastAsia="Times New Roman" w:hAnsi="Times New Roman" w:cs="Times New Roman"/>
          <w:kern w:val="0"/>
          <w:sz w:val="24"/>
          <w:szCs w:val="24"/>
          <w14:ligatures w14:val="none"/>
        </w:rPr>
        <w:t xml:space="preserve"> (2017),</w:t>
      </w:r>
      <w:r w:rsidRPr="0050122D">
        <w:rPr>
          <w:rFonts w:ascii="Times New Roman" w:eastAsia="Aptos" w:hAnsi="Times New Roman" w:cs="Times New Roman"/>
          <w:sz w:val="24"/>
          <w:szCs w:val="24"/>
        </w:rPr>
        <w:t xml:space="preserve"> who discovered that household disposable income and consumption of household are positively related, and this concurs with the results presented in </w:t>
      </w:r>
      <w:r w:rsidRPr="0050122D">
        <w:rPr>
          <w:rFonts w:ascii="Times New Roman" w:eastAsia="Times New Roman" w:hAnsi="Times New Roman" w:cs="Times New Roman"/>
          <w:kern w:val="0"/>
          <w:sz w:val="24"/>
          <w:szCs w:val="24"/>
          <w:lang w:eastAsia="en-ZA"/>
          <w14:ligatures w14:val="none"/>
        </w:rPr>
        <w:t>Table 6.</w:t>
      </w:r>
    </w:p>
    <w:p w14:paraId="23A81FCC"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 xml:space="preserve">It is clearly demonstrated in Table 6 that unemployment is statistically insignificant in the lower quantiles and the 0.90 upper quantile. These findings are supported by Yıldırım and Yıldırım (2017), who revealed an insignificant effect of unemployment on consumption. </w:t>
      </w:r>
    </w:p>
    <w:p w14:paraId="03D89AB9"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 xml:space="preserve">Whereas in the middle quantiles (0.40 and 0.50), unemployment is statistically significant at 10%, while at the 0.60 middle quantiles, unemployment is statistically significant at the 5% level, with a negative coefficient. This means that unemployment has a harmful effect on household consumption in the long run. In the 0.75 upper quantile, unemployment is statistically significant at the 1% level with a p-value of 0.94%, which indicates that a 1% increase in unemployment causes a 5.8554 units decrease in consumption of households in the long run. </w:t>
      </w:r>
    </w:p>
    <w:p w14:paraId="27B454DE" w14:textId="6CE43AB3" w:rsidR="0050122D" w:rsidRPr="0050122D" w:rsidRDefault="0050122D" w:rsidP="0050122D">
      <w:pPr>
        <w:spacing w:after="240" w:line="360" w:lineRule="auto"/>
        <w:jc w:val="both"/>
        <w:rPr>
          <w:rFonts w:ascii="Times New Roman" w:eastAsia="Times New Roman" w:hAnsi="Times New Roman" w:cs="Times New Roman"/>
          <w:kern w:val="0"/>
          <w:sz w:val="24"/>
          <w:szCs w:val="24"/>
          <w:shd w:val="clear" w:color="auto" w:fill="FFFFFF"/>
          <w14:ligatures w14:val="none"/>
        </w:rPr>
      </w:pPr>
      <w:r w:rsidRPr="0050122D">
        <w:rPr>
          <w:rFonts w:ascii="Times New Roman" w:eastAsia="Times New Roman" w:hAnsi="Times New Roman" w:cs="Times New Roman"/>
          <w:kern w:val="0"/>
          <w:sz w:val="24"/>
          <w:szCs w:val="24"/>
          <w14:ligatures w14:val="none"/>
        </w:rPr>
        <w:t xml:space="preserve">This is in line with </w:t>
      </w:r>
      <w:r w:rsidRPr="0050122D">
        <w:rPr>
          <w:rFonts w:ascii="Times New Roman" w:eastAsia="Times New Roman" w:hAnsi="Times New Roman" w:cs="Times New Roman"/>
          <w:kern w:val="0"/>
          <w:sz w:val="24"/>
          <w:szCs w:val="24"/>
          <w:shd w:val="clear" w:color="auto" w:fill="FFFFFF"/>
          <w14:ligatures w14:val="none"/>
        </w:rPr>
        <w:t>Gupta and Kishore (2022),</w:t>
      </w:r>
      <w:r w:rsidRPr="0050122D">
        <w:rPr>
          <w:rFonts w:ascii="Times New Roman" w:eastAsia="Times New Roman" w:hAnsi="Times New Roman" w:cs="Times New Roman"/>
          <w:kern w:val="0"/>
          <w:sz w:val="24"/>
          <w:szCs w:val="24"/>
          <w:lang w:eastAsia="en-ZA"/>
          <w14:ligatures w14:val="none"/>
        </w:rPr>
        <w:t xml:space="preserve"> </w:t>
      </w:r>
      <w:r w:rsidRPr="0050122D">
        <w:rPr>
          <w:rFonts w:ascii="Times New Roman" w:eastAsia="Times New Roman" w:hAnsi="Times New Roman" w:cs="Times New Roman"/>
          <w:kern w:val="0"/>
          <w:sz w:val="24"/>
          <w:szCs w:val="24"/>
          <w14:ligatures w14:val="none"/>
        </w:rPr>
        <w:t>Alegre and Pou (2016),</w:t>
      </w:r>
      <w:r w:rsidRPr="0050122D">
        <w:rPr>
          <w:rFonts w:ascii="Times New Roman" w:eastAsia="Times New Roman" w:hAnsi="Times New Roman" w:cs="Times New Roman"/>
          <w:kern w:val="0"/>
          <w:sz w:val="24"/>
          <w:szCs w:val="24"/>
          <w:shd w:val="clear" w:color="auto" w:fill="FFFFFF"/>
          <w14:ligatures w14:val="none"/>
        </w:rPr>
        <w:t xml:space="preserve"> Christelis </w:t>
      </w:r>
      <w:r w:rsidRPr="0050122D">
        <w:rPr>
          <w:rFonts w:ascii="Times New Roman" w:eastAsia="Times New Roman" w:hAnsi="Times New Roman" w:cs="Times New Roman"/>
          <w:i/>
          <w:iCs/>
          <w:kern w:val="0"/>
          <w:sz w:val="24"/>
          <w:szCs w:val="24"/>
          <w:shd w:val="clear" w:color="auto" w:fill="FFFFFF"/>
          <w14:ligatures w14:val="none"/>
        </w:rPr>
        <w:t>et al.</w:t>
      </w:r>
      <w:r w:rsidRPr="0050122D">
        <w:rPr>
          <w:rFonts w:ascii="Times New Roman" w:eastAsia="Times New Roman" w:hAnsi="Times New Roman" w:cs="Times New Roman"/>
          <w:kern w:val="0"/>
          <w:sz w:val="24"/>
          <w:szCs w:val="24"/>
          <w:shd w:val="clear" w:color="auto" w:fill="FFFFFF"/>
          <w14:ligatures w14:val="none"/>
        </w:rPr>
        <w:t xml:space="preserve"> (2015) Fagereng </w:t>
      </w:r>
      <w:r w:rsidRPr="0050122D">
        <w:rPr>
          <w:rFonts w:ascii="Times New Roman" w:eastAsia="Times New Roman" w:hAnsi="Times New Roman" w:cs="Times New Roman"/>
          <w:i/>
          <w:iCs/>
          <w:kern w:val="0"/>
          <w:sz w:val="24"/>
          <w:szCs w:val="24"/>
          <w:shd w:val="clear" w:color="auto" w:fill="FFFFFF"/>
          <w14:ligatures w14:val="none"/>
        </w:rPr>
        <w:t>et al.</w:t>
      </w:r>
      <w:r w:rsidRPr="0050122D">
        <w:rPr>
          <w:rFonts w:ascii="Times New Roman" w:eastAsia="Times New Roman" w:hAnsi="Times New Roman" w:cs="Times New Roman"/>
          <w:kern w:val="0"/>
          <w:sz w:val="24"/>
          <w:szCs w:val="24"/>
          <w:shd w:val="clear" w:color="auto" w:fill="FFFFFF"/>
          <w14:ligatures w14:val="none"/>
        </w:rPr>
        <w:t xml:space="preserve"> (2024), Dickens </w:t>
      </w:r>
      <w:r w:rsidRPr="0050122D">
        <w:rPr>
          <w:rFonts w:ascii="Times New Roman" w:eastAsia="Times New Roman" w:hAnsi="Times New Roman" w:cs="Times New Roman"/>
          <w:i/>
          <w:iCs/>
          <w:kern w:val="0"/>
          <w:sz w:val="24"/>
          <w:szCs w:val="24"/>
          <w:shd w:val="clear" w:color="auto" w:fill="FFFFFF"/>
          <w14:ligatures w14:val="none"/>
        </w:rPr>
        <w:t>et al.</w:t>
      </w:r>
      <w:r w:rsidRPr="0050122D">
        <w:rPr>
          <w:rFonts w:ascii="Times New Roman" w:eastAsia="Times New Roman" w:hAnsi="Times New Roman" w:cs="Times New Roman"/>
          <w:kern w:val="0"/>
          <w:sz w:val="24"/>
          <w:szCs w:val="24"/>
          <w:shd w:val="clear" w:color="auto" w:fill="FFFFFF"/>
          <w14:ligatures w14:val="none"/>
        </w:rPr>
        <w:t xml:space="preserve"> (2017) </w:t>
      </w:r>
      <w:r w:rsidRPr="00D43ED0">
        <w:rPr>
          <w:rFonts w:ascii="Times New Roman" w:eastAsia="Times New Roman" w:hAnsi="Times New Roman" w:cs="Times New Roman"/>
          <w:kern w:val="0"/>
          <w:sz w:val="24"/>
          <w:szCs w:val="24"/>
          <w:shd w:val="clear" w:color="auto" w:fill="FFFFFF"/>
          <w14:ligatures w14:val="none"/>
        </w:rPr>
        <w:t xml:space="preserve">and </w:t>
      </w:r>
      <w:r w:rsidR="00D43ED0" w:rsidRPr="00D43ED0">
        <w:rPr>
          <w:rFonts w:ascii="Times New Roman" w:eastAsia="Times New Roman" w:hAnsi="Times New Roman" w:cs="Times New Roman"/>
          <w:kern w:val="0"/>
          <w:sz w:val="24"/>
          <w:szCs w:val="24"/>
          <w:shd w:val="clear" w:color="auto" w:fill="FFFFFF"/>
          <w14:ligatures w14:val="none"/>
        </w:rPr>
        <w:t xml:space="preserve">Habanabakize </w:t>
      </w:r>
      <w:r w:rsidR="00D43ED0" w:rsidRPr="00D43ED0">
        <w:rPr>
          <w:rFonts w:ascii="Times New Roman" w:eastAsia="Times New Roman" w:hAnsi="Times New Roman" w:cs="Times New Roman"/>
          <w:i/>
          <w:iCs/>
          <w:kern w:val="0"/>
          <w:sz w:val="24"/>
          <w:szCs w:val="24"/>
          <w:shd w:val="clear" w:color="auto" w:fill="FFFFFF"/>
          <w14:ligatures w14:val="none"/>
        </w:rPr>
        <w:t>et al.</w:t>
      </w:r>
      <w:r w:rsidR="00D43ED0" w:rsidRPr="00D43ED0">
        <w:rPr>
          <w:rFonts w:ascii="Times New Roman" w:eastAsia="Times New Roman" w:hAnsi="Times New Roman" w:cs="Times New Roman"/>
          <w:kern w:val="0"/>
          <w:sz w:val="24"/>
          <w:szCs w:val="24"/>
          <w:lang w:eastAsia="en-ZA"/>
          <w14:ligatures w14:val="none"/>
        </w:rPr>
        <w:t xml:space="preserve"> </w:t>
      </w:r>
      <w:r w:rsidRPr="00D43ED0">
        <w:rPr>
          <w:rFonts w:ascii="Times New Roman" w:eastAsia="Times New Roman" w:hAnsi="Times New Roman" w:cs="Times New Roman"/>
          <w:kern w:val="0"/>
          <w:sz w:val="24"/>
          <w:szCs w:val="24"/>
          <w:shd w:val="clear" w:color="auto" w:fill="FFFFFF"/>
          <w14:ligatures w14:val="none"/>
        </w:rPr>
        <w:t>(2017),</w:t>
      </w:r>
      <w:r w:rsidRPr="00D43ED0">
        <w:rPr>
          <w:rFonts w:ascii="Times New Roman" w:eastAsia="Times New Roman" w:hAnsi="Times New Roman" w:cs="Times New Roman"/>
          <w:kern w:val="0"/>
          <w:sz w:val="24"/>
          <w:szCs w:val="24"/>
          <w:lang w:eastAsia="en-ZA"/>
          <w14:ligatures w14:val="none"/>
        </w:rPr>
        <w:t xml:space="preserve"> who</w:t>
      </w:r>
      <w:r w:rsidRPr="0050122D">
        <w:rPr>
          <w:rFonts w:ascii="Times New Roman" w:eastAsia="Times New Roman" w:hAnsi="Times New Roman" w:cs="Times New Roman"/>
          <w:kern w:val="0"/>
          <w:sz w:val="24"/>
          <w:szCs w:val="24"/>
          <w14:ligatures w14:val="none"/>
        </w:rPr>
        <w:t xml:space="preserve"> found that unemployment harms the consumption of households.</w:t>
      </w:r>
      <w:r w:rsidRPr="0050122D">
        <w:rPr>
          <w:rFonts w:ascii="Times New Roman" w:eastAsia="Aptos" w:hAnsi="Times New Roman" w:cs="Times New Roman"/>
          <w:sz w:val="24"/>
          <w:szCs w:val="24"/>
        </w:rPr>
        <w:t xml:space="preserve"> </w:t>
      </w:r>
      <w:r w:rsidRPr="0050122D">
        <w:rPr>
          <w:rFonts w:ascii="Times New Roman" w:eastAsia="Times New Roman" w:hAnsi="Times New Roman" w:cs="Times New Roman"/>
          <w:kern w:val="0"/>
          <w:sz w:val="24"/>
          <w:szCs w:val="24"/>
          <w:lang w:eastAsia="en-ZA"/>
          <w14:ligatures w14:val="none"/>
        </w:rPr>
        <w:t xml:space="preserve">However, the 0.90 upper quantile is statistically insignificant. The following empirical evidence </w:t>
      </w:r>
      <w:r w:rsidRPr="0050122D">
        <w:rPr>
          <w:rFonts w:ascii="Times New Roman" w:eastAsia="Times New Roman" w:hAnsi="Times New Roman" w:cs="Times New Roman"/>
          <w:kern w:val="0"/>
          <w:sz w:val="24"/>
          <w:szCs w:val="24"/>
          <w:shd w:val="clear" w:color="auto" w:fill="FFFFFF"/>
          <w14:ligatures w14:val="none"/>
        </w:rPr>
        <w:t>(</w:t>
      </w:r>
      <w:r w:rsidR="00AA5FD8" w:rsidRPr="00AA5FD8">
        <w:rPr>
          <w:rFonts w:ascii="Times New Roman" w:eastAsia="Times New Roman" w:hAnsi="Times New Roman" w:cs="Times New Roman"/>
          <w:kern w:val="0"/>
          <w:sz w:val="24"/>
          <w:szCs w:val="24"/>
          <w:shd w:val="clear" w:color="auto" w:fill="FFFFFF"/>
          <w14:ligatures w14:val="none"/>
        </w:rPr>
        <w:t>Kroft</w:t>
      </w:r>
      <w:r w:rsidR="00AA5FD8">
        <w:rPr>
          <w:rFonts w:ascii="Times New Roman" w:eastAsia="Times New Roman" w:hAnsi="Times New Roman" w:cs="Times New Roman"/>
          <w:kern w:val="0"/>
          <w:sz w:val="24"/>
          <w:szCs w:val="24"/>
          <w:shd w:val="clear" w:color="auto" w:fill="FFFFFF"/>
          <w14:ligatures w14:val="none"/>
        </w:rPr>
        <w:t xml:space="preserve"> &amp; </w:t>
      </w:r>
      <w:r w:rsidRPr="0050122D">
        <w:rPr>
          <w:rFonts w:ascii="Times New Roman" w:eastAsia="Times New Roman" w:hAnsi="Times New Roman" w:cs="Times New Roman"/>
          <w:kern w:val="0"/>
          <w:sz w:val="24"/>
          <w:szCs w:val="24"/>
          <w:shd w:val="clear" w:color="auto" w:fill="FFFFFF"/>
          <w14:ligatures w14:val="none"/>
        </w:rPr>
        <w:t>Notowidigdo, 2016; Bentolila &amp; Ichino, 2008) is of the view that unemployment has an insignificant impact on household consumption.</w:t>
      </w:r>
    </w:p>
    <w:p w14:paraId="4C28A230" w14:textId="77777777" w:rsidR="0050122D" w:rsidRPr="0050122D" w:rsidRDefault="0050122D" w:rsidP="0050122D">
      <w:pPr>
        <w:keepNext/>
        <w:numPr>
          <w:ilvl w:val="3"/>
          <w:numId w:val="0"/>
        </w:numPr>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bookmarkStart w:id="91" w:name="_Toc183627202"/>
      <w:bookmarkStart w:id="92" w:name="_Hlk176791065"/>
      <w:r w:rsidRPr="0050122D">
        <w:rPr>
          <w:rFonts w:ascii="Times New Roman" w:eastAsia="Calibri" w:hAnsi="Times New Roman" w:cs="Times New Roman"/>
          <w:b/>
          <w:bCs/>
          <w:kern w:val="0"/>
          <w:sz w:val="24"/>
          <w:szCs w:val="24"/>
          <w:lang w:val="en-US" w:eastAsia="en-ZA"/>
          <w14:ligatures w14:val="none"/>
        </w:rPr>
        <w:t>4.6 Short run QARDL estimates results</w:t>
      </w:r>
      <w:bookmarkEnd w:id="91"/>
      <w:r w:rsidRPr="0050122D">
        <w:rPr>
          <w:rFonts w:ascii="Times New Roman" w:eastAsia="Calibri" w:hAnsi="Times New Roman" w:cs="Times New Roman"/>
          <w:b/>
          <w:bCs/>
          <w:kern w:val="0"/>
          <w:sz w:val="24"/>
          <w:szCs w:val="24"/>
          <w:lang w:val="en-US" w:eastAsia="en-ZA"/>
          <w14:ligatures w14:val="none"/>
        </w:rPr>
        <w:t xml:space="preserve"> </w:t>
      </w:r>
      <w:bookmarkStart w:id="93" w:name="_Hlk176870930"/>
      <w:bookmarkEnd w:id="92"/>
    </w:p>
    <w:p w14:paraId="4DE2E799"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The results of the estimation of the QARDL short-run model between pay as you earn tax and household consumption are reported in </w:t>
      </w:r>
      <w:bookmarkStart w:id="94" w:name="_Hlk176786730"/>
      <w:r w:rsidRPr="0050122D">
        <w:rPr>
          <w:rFonts w:ascii="Times New Roman" w:eastAsia="Times New Roman" w:hAnsi="Times New Roman" w:cs="Times New Roman"/>
          <w:kern w:val="0"/>
          <w:sz w:val="24"/>
          <w:szCs w:val="24"/>
          <w14:ligatures w14:val="none"/>
        </w:rPr>
        <w:t xml:space="preserve">Table </w:t>
      </w:r>
      <w:bookmarkEnd w:id="94"/>
      <w:r w:rsidRPr="0050122D">
        <w:rPr>
          <w:rFonts w:ascii="Times New Roman" w:eastAsia="Times New Roman" w:hAnsi="Times New Roman" w:cs="Times New Roman"/>
          <w:kern w:val="0"/>
          <w:sz w:val="24"/>
          <w:szCs w:val="24"/>
          <w14:ligatures w14:val="none"/>
        </w:rPr>
        <w:t xml:space="preserve">7. </w:t>
      </w:r>
    </w:p>
    <w:p w14:paraId="14DBC275"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Table 7 indicates that all the error correction terms from the lower to the upper quantiles have a negative coefficient and significant p-values. This implies that the model will return to equilibrium in the long run, after the short run shock. </w:t>
      </w:r>
    </w:p>
    <w:p w14:paraId="4DBFCF3B"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In the short run, the pay as you earn tax is statistically significant at the 5% level in the lower quantiles, with negative coefficients, as reported in Table 7. This signifies that pay as you earn tax harms the consumption of households in the short run. In the middle quantiles, pay as you earn tax is also statistically significant with negative coefficients, as shown in Table 7. This implies that the increase in pay as you earn tax leads to a decrease in household consumption. Table 7 indicates that at the 0.75 upper quantile, the pay as you earn tax has a p-value of 3.8%, less than the 5% significance level. This means a 1% increase in pay as you earn tax results in a 14.700 units decrease in consumption of households. This concurs with the findings of those of </w:t>
      </w:r>
      <w:r w:rsidRPr="0050122D">
        <w:rPr>
          <w:rFonts w:ascii="Times New Roman" w:eastAsia="Times New Roman" w:hAnsi="Times New Roman" w:cs="Times New Roman"/>
          <w:kern w:val="0"/>
          <w:sz w:val="24"/>
          <w:szCs w:val="24"/>
          <w:shd w:val="clear" w:color="auto" w:fill="FFFFFF"/>
          <w14:ligatures w14:val="none"/>
        </w:rPr>
        <w:t xml:space="preserve">Agheli </w:t>
      </w:r>
      <w:r w:rsidRPr="0050122D">
        <w:rPr>
          <w:rFonts w:ascii="Times New Roman" w:eastAsia="Times New Roman" w:hAnsi="Times New Roman" w:cs="Times New Roman"/>
          <w:i/>
          <w:kern w:val="0"/>
          <w:sz w:val="24"/>
          <w:szCs w:val="24"/>
          <w:lang w:val="en-US"/>
          <w14:ligatures w14:val="none"/>
        </w:rPr>
        <w:t>et al.</w:t>
      </w:r>
      <w:r w:rsidRPr="0050122D">
        <w:rPr>
          <w:rFonts w:ascii="Times New Roman" w:eastAsia="Times New Roman" w:hAnsi="Times New Roman" w:cs="Times New Roman"/>
          <w:kern w:val="0"/>
          <w:sz w:val="24"/>
          <w:szCs w:val="24"/>
          <w14:ligatures w14:val="none"/>
        </w:rPr>
        <w:t xml:space="preserve"> (</w:t>
      </w:r>
      <w:r w:rsidRPr="0050122D">
        <w:rPr>
          <w:rFonts w:ascii="Times New Roman" w:eastAsia="Times New Roman" w:hAnsi="Times New Roman" w:cs="Times New Roman"/>
          <w:kern w:val="0"/>
          <w:sz w:val="24"/>
          <w:szCs w:val="24"/>
          <w:shd w:val="clear" w:color="auto" w:fill="FFFFFF"/>
          <w14:ligatures w14:val="none"/>
        </w:rPr>
        <w:t xml:space="preserve">2009), </w:t>
      </w:r>
      <w:r w:rsidRPr="0050122D">
        <w:rPr>
          <w:rFonts w:ascii="Times New Roman" w:eastAsia="Times New Roman" w:hAnsi="Times New Roman" w:cs="Times New Roman"/>
          <w:kern w:val="0"/>
          <w:sz w:val="24"/>
          <w:szCs w:val="24"/>
          <w14:ligatures w14:val="none"/>
        </w:rPr>
        <w:t xml:space="preserve">who obtained a negative and significant relationship between taxes on income and household consumption. Zhang (2017) concurs with this notion, and asserts that there is a negative connection between income tax and the consumption of households. </w:t>
      </w:r>
    </w:p>
    <w:p w14:paraId="527DE446"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sectPr w:rsidR="0050122D" w:rsidRPr="0050122D" w:rsidSect="0050122D">
          <w:pgSz w:w="11907" w:h="16840" w:code="9"/>
          <w:pgMar w:top="1134" w:right="1134" w:bottom="1418" w:left="1418" w:header="851" w:footer="1134" w:gutter="0"/>
          <w:cols w:space="708"/>
          <w:docGrid w:linePitch="360"/>
        </w:sectPr>
      </w:pPr>
      <w:r w:rsidRPr="0050122D">
        <w:rPr>
          <w:rFonts w:ascii="Times New Roman" w:eastAsia="Times New Roman" w:hAnsi="Times New Roman" w:cs="Times New Roman"/>
          <w:kern w:val="0"/>
          <w:sz w:val="24"/>
          <w:szCs w:val="24"/>
          <w14:ligatures w14:val="none"/>
        </w:rPr>
        <w:t>On the other hand, in the 0.90 upper quantile, pay as you earn tax is statistically insignificant</w:t>
      </w:r>
      <w:r w:rsidRPr="0050122D">
        <w:rPr>
          <w:rFonts w:ascii="Times New Roman" w:eastAsia="Times New Roman" w:hAnsi="Times New Roman" w:cs="Times New Roman"/>
          <w:kern w:val="0"/>
          <w:sz w:val="24"/>
          <w:szCs w:val="24"/>
          <w:shd w:val="clear" w:color="auto" w:fill="FFFFFF"/>
          <w14:ligatures w14:val="none"/>
        </w:rPr>
        <w:t>.</w:t>
      </w:r>
      <w:r w:rsidRPr="0050122D">
        <w:rPr>
          <w:rFonts w:ascii="Times New Roman" w:eastAsia="Times New Roman" w:hAnsi="Times New Roman" w:cs="Times New Roman"/>
          <w:kern w:val="0"/>
          <w:sz w:val="24"/>
          <w:szCs w:val="24"/>
          <w14:ligatures w14:val="none"/>
        </w:rPr>
        <w:t xml:space="preserve"> Şen and Kaya (2016) and Wang (2022) believe that the connection between taxes on income and consumption differs, depending on time. </w:t>
      </w:r>
    </w:p>
    <w:p w14:paraId="42AB231A"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bookmarkStart w:id="95" w:name="_Toc180325932"/>
      <w:bookmarkStart w:id="96" w:name="_Toc183626792"/>
      <w:bookmarkStart w:id="97" w:name="_Hlk175175802"/>
      <w:bookmarkEnd w:id="93"/>
      <w:r w:rsidRPr="0050122D">
        <w:rPr>
          <w:rFonts w:ascii="Times New Roman" w:eastAsia="Times New Roman" w:hAnsi="Times New Roman" w:cs="Times New Roman"/>
          <w:b/>
          <w:bCs/>
          <w:kern w:val="0"/>
          <w:sz w:val="24"/>
          <w:szCs w:val="24"/>
          <w14:ligatures w14:val="none"/>
        </w:rPr>
        <w:t>Table 7: Short-run QARDL estimates</w:t>
      </w:r>
      <w:bookmarkEnd w:id="95"/>
      <w:bookmarkEnd w:id="96"/>
      <w:r w:rsidRPr="0050122D">
        <w:rPr>
          <w:rFonts w:ascii="Times New Roman" w:eastAsia="Times New Roman" w:hAnsi="Times New Roman" w:cs="Times New Roman"/>
          <w:b/>
          <w:bCs/>
          <w:kern w:val="0"/>
          <w:sz w:val="24"/>
          <w:szCs w:val="24"/>
          <w14:ligatures w14:val="none"/>
        </w:rPr>
        <w:t xml:space="preserve"> </w:t>
      </w:r>
    </w:p>
    <w:tbl>
      <w:tblPr>
        <w:tblStyle w:val="TableGrid82"/>
        <w:tblW w:w="5000" w:type="pct"/>
        <w:tblLook w:val="04A0" w:firstRow="1" w:lastRow="0" w:firstColumn="1" w:lastColumn="0" w:noHBand="0" w:noVBand="1"/>
      </w:tblPr>
      <w:tblGrid>
        <w:gridCol w:w="1410"/>
        <w:gridCol w:w="1761"/>
        <w:gridCol w:w="1588"/>
        <w:gridCol w:w="1762"/>
        <w:gridCol w:w="1411"/>
        <w:gridCol w:w="1762"/>
        <w:gridCol w:w="1411"/>
        <w:gridCol w:w="1762"/>
        <w:gridCol w:w="1411"/>
      </w:tblGrid>
      <w:tr w:rsidR="0050122D" w:rsidRPr="0050122D" w14:paraId="50B58126" w14:textId="77777777" w:rsidTr="0043536F">
        <w:tc>
          <w:tcPr>
            <w:tcW w:w="494" w:type="pct"/>
            <w:vMerge w:val="restart"/>
          </w:tcPr>
          <w:bookmarkEnd w:id="97"/>
          <w:p w14:paraId="3A6E75D6" w14:textId="77777777" w:rsidR="0050122D" w:rsidRPr="0050122D" w:rsidRDefault="0050122D" w:rsidP="0050122D">
            <w:pPr>
              <w:spacing w:before="60" w:after="60"/>
              <w:jc w:val="center"/>
              <w:rPr>
                <w:b/>
                <w:sz w:val="24"/>
                <w:szCs w:val="24"/>
              </w:rPr>
            </w:pPr>
            <w:r w:rsidRPr="0050122D">
              <w:rPr>
                <w:b/>
                <w:sz w:val="24"/>
                <w:szCs w:val="24"/>
              </w:rPr>
              <w:t>Quantile</w:t>
            </w:r>
          </w:p>
        </w:tc>
        <w:tc>
          <w:tcPr>
            <w:tcW w:w="1173" w:type="pct"/>
            <w:gridSpan w:val="2"/>
          </w:tcPr>
          <w:p w14:paraId="3AAB60F8" w14:textId="77777777" w:rsidR="0050122D" w:rsidRPr="0050122D" w:rsidRDefault="0050122D" w:rsidP="0050122D">
            <w:pPr>
              <w:spacing w:before="60" w:after="60"/>
              <w:jc w:val="center"/>
              <w:rPr>
                <w:b/>
                <w:sz w:val="24"/>
                <w:szCs w:val="24"/>
              </w:rPr>
            </w:pPr>
            <w:r w:rsidRPr="0050122D">
              <w:rPr>
                <w:b/>
                <w:sz w:val="24"/>
                <w:szCs w:val="24"/>
              </w:rPr>
              <w:t xml:space="preserve">ECM </w:t>
            </w:r>
          </w:p>
        </w:tc>
        <w:tc>
          <w:tcPr>
            <w:tcW w:w="1111" w:type="pct"/>
            <w:gridSpan w:val="2"/>
          </w:tcPr>
          <w:p w14:paraId="5BB3D5D8" w14:textId="77777777" w:rsidR="0050122D" w:rsidRPr="0050122D" w:rsidRDefault="0050122D" w:rsidP="0050122D">
            <w:pPr>
              <w:spacing w:before="60" w:after="60"/>
              <w:jc w:val="center"/>
              <w:rPr>
                <w:b/>
                <w:sz w:val="24"/>
                <w:szCs w:val="24"/>
              </w:rPr>
            </w:pPr>
            <w:r w:rsidRPr="0050122D">
              <w:rPr>
                <w:b/>
                <w:sz w:val="24"/>
                <w:szCs w:val="24"/>
              </w:rPr>
              <w:t xml:space="preserve">LPAYE </w:t>
            </w:r>
          </w:p>
        </w:tc>
        <w:tc>
          <w:tcPr>
            <w:tcW w:w="1111" w:type="pct"/>
            <w:gridSpan w:val="2"/>
          </w:tcPr>
          <w:p w14:paraId="1D1FB1D0" w14:textId="77777777" w:rsidR="0050122D" w:rsidRPr="0050122D" w:rsidRDefault="0050122D" w:rsidP="0050122D">
            <w:pPr>
              <w:spacing w:before="60" w:after="60"/>
              <w:jc w:val="center"/>
              <w:rPr>
                <w:b/>
                <w:sz w:val="24"/>
                <w:szCs w:val="24"/>
              </w:rPr>
            </w:pPr>
            <w:r w:rsidRPr="0050122D">
              <w:rPr>
                <w:b/>
                <w:sz w:val="24"/>
                <w:szCs w:val="24"/>
              </w:rPr>
              <w:t xml:space="preserve">HDI </w:t>
            </w:r>
          </w:p>
        </w:tc>
        <w:tc>
          <w:tcPr>
            <w:tcW w:w="1111" w:type="pct"/>
            <w:gridSpan w:val="2"/>
          </w:tcPr>
          <w:p w14:paraId="63F53314" w14:textId="77777777" w:rsidR="0050122D" w:rsidRPr="0050122D" w:rsidRDefault="0050122D" w:rsidP="0050122D">
            <w:pPr>
              <w:spacing w:before="60" w:after="60"/>
              <w:jc w:val="center"/>
              <w:rPr>
                <w:b/>
                <w:sz w:val="24"/>
                <w:szCs w:val="24"/>
              </w:rPr>
            </w:pPr>
            <w:r w:rsidRPr="0050122D">
              <w:rPr>
                <w:b/>
                <w:sz w:val="24"/>
                <w:szCs w:val="24"/>
              </w:rPr>
              <w:t>LUER</w:t>
            </w:r>
          </w:p>
        </w:tc>
      </w:tr>
      <w:tr w:rsidR="0050122D" w:rsidRPr="0050122D" w14:paraId="7A41D8DE" w14:textId="77777777" w:rsidTr="0043536F">
        <w:tc>
          <w:tcPr>
            <w:tcW w:w="494" w:type="pct"/>
            <w:vMerge/>
          </w:tcPr>
          <w:p w14:paraId="5E286472" w14:textId="77777777" w:rsidR="0050122D" w:rsidRPr="0050122D" w:rsidRDefault="0050122D" w:rsidP="0050122D">
            <w:pPr>
              <w:spacing w:before="60" w:after="60"/>
              <w:jc w:val="center"/>
              <w:rPr>
                <w:b/>
                <w:sz w:val="24"/>
                <w:szCs w:val="24"/>
              </w:rPr>
            </w:pPr>
          </w:p>
        </w:tc>
        <w:tc>
          <w:tcPr>
            <w:tcW w:w="617" w:type="pct"/>
          </w:tcPr>
          <w:p w14:paraId="4EA25ADB" w14:textId="77777777" w:rsidR="0050122D" w:rsidRPr="0050122D" w:rsidRDefault="0050122D" w:rsidP="0050122D">
            <w:pPr>
              <w:spacing w:before="60" w:after="60"/>
              <w:jc w:val="center"/>
              <w:rPr>
                <w:b/>
                <w:sz w:val="24"/>
                <w:szCs w:val="24"/>
              </w:rPr>
            </w:pPr>
            <w:r w:rsidRPr="0050122D">
              <w:rPr>
                <w:b/>
                <w:sz w:val="24"/>
                <w:szCs w:val="24"/>
              </w:rPr>
              <w:t>Coefficient</w:t>
            </w:r>
          </w:p>
        </w:tc>
        <w:tc>
          <w:tcPr>
            <w:tcW w:w="556" w:type="pct"/>
          </w:tcPr>
          <w:p w14:paraId="45845D8C" w14:textId="77777777" w:rsidR="0050122D" w:rsidRPr="0050122D" w:rsidRDefault="0050122D" w:rsidP="0050122D">
            <w:pPr>
              <w:spacing w:before="60" w:after="60"/>
              <w:jc w:val="center"/>
              <w:rPr>
                <w:b/>
                <w:sz w:val="24"/>
                <w:szCs w:val="24"/>
              </w:rPr>
            </w:pPr>
            <w:r w:rsidRPr="0050122D">
              <w:rPr>
                <w:b/>
                <w:sz w:val="24"/>
                <w:szCs w:val="24"/>
              </w:rPr>
              <w:t>P-Value</w:t>
            </w:r>
          </w:p>
        </w:tc>
        <w:tc>
          <w:tcPr>
            <w:tcW w:w="617" w:type="pct"/>
          </w:tcPr>
          <w:p w14:paraId="0205A379" w14:textId="77777777" w:rsidR="0050122D" w:rsidRPr="0050122D" w:rsidRDefault="0050122D" w:rsidP="0050122D">
            <w:pPr>
              <w:spacing w:before="60" w:after="60"/>
              <w:jc w:val="center"/>
              <w:rPr>
                <w:b/>
                <w:sz w:val="24"/>
                <w:szCs w:val="24"/>
              </w:rPr>
            </w:pPr>
            <w:r w:rsidRPr="0050122D">
              <w:rPr>
                <w:b/>
                <w:sz w:val="24"/>
                <w:szCs w:val="24"/>
              </w:rPr>
              <w:t>Coefficient</w:t>
            </w:r>
          </w:p>
        </w:tc>
        <w:tc>
          <w:tcPr>
            <w:tcW w:w="494" w:type="pct"/>
          </w:tcPr>
          <w:p w14:paraId="2D5D03BE" w14:textId="77777777" w:rsidR="0050122D" w:rsidRPr="0050122D" w:rsidRDefault="0050122D" w:rsidP="0050122D">
            <w:pPr>
              <w:spacing w:before="60" w:after="60"/>
              <w:jc w:val="center"/>
              <w:rPr>
                <w:b/>
                <w:sz w:val="24"/>
                <w:szCs w:val="24"/>
              </w:rPr>
            </w:pPr>
            <w:r w:rsidRPr="0050122D">
              <w:rPr>
                <w:b/>
                <w:sz w:val="24"/>
                <w:szCs w:val="24"/>
              </w:rPr>
              <w:t>P-Value</w:t>
            </w:r>
          </w:p>
        </w:tc>
        <w:tc>
          <w:tcPr>
            <w:tcW w:w="617" w:type="pct"/>
          </w:tcPr>
          <w:p w14:paraId="64655F00" w14:textId="77777777" w:rsidR="0050122D" w:rsidRPr="0050122D" w:rsidRDefault="0050122D" w:rsidP="0050122D">
            <w:pPr>
              <w:spacing w:before="60" w:after="60"/>
              <w:jc w:val="center"/>
              <w:rPr>
                <w:b/>
                <w:sz w:val="24"/>
                <w:szCs w:val="24"/>
              </w:rPr>
            </w:pPr>
            <w:r w:rsidRPr="0050122D">
              <w:rPr>
                <w:b/>
                <w:sz w:val="24"/>
                <w:szCs w:val="24"/>
              </w:rPr>
              <w:t>Coefficient</w:t>
            </w:r>
          </w:p>
        </w:tc>
        <w:tc>
          <w:tcPr>
            <w:tcW w:w="494" w:type="pct"/>
          </w:tcPr>
          <w:p w14:paraId="1FFA5EB7" w14:textId="77777777" w:rsidR="0050122D" w:rsidRPr="0050122D" w:rsidRDefault="0050122D" w:rsidP="0050122D">
            <w:pPr>
              <w:spacing w:before="60" w:after="60"/>
              <w:jc w:val="center"/>
              <w:rPr>
                <w:b/>
                <w:sz w:val="24"/>
                <w:szCs w:val="24"/>
              </w:rPr>
            </w:pPr>
            <w:r w:rsidRPr="0050122D">
              <w:rPr>
                <w:b/>
                <w:sz w:val="24"/>
                <w:szCs w:val="24"/>
              </w:rPr>
              <w:t>P-Value</w:t>
            </w:r>
          </w:p>
        </w:tc>
        <w:tc>
          <w:tcPr>
            <w:tcW w:w="617" w:type="pct"/>
          </w:tcPr>
          <w:p w14:paraId="6310528B" w14:textId="77777777" w:rsidR="0050122D" w:rsidRPr="0050122D" w:rsidRDefault="0050122D" w:rsidP="0050122D">
            <w:pPr>
              <w:spacing w:before="60" w:after="60"/>
              <w:jc w:val="center"/>
              <w:rPr>
                <w:b/>
                <w:sz w:val="24"/>
                <w:szCs w:val="24"/>
              </w:rPr>
            </w:pPr>
            <w:r w:rsidRPr="0050122D">
              <w:rPr>
                <w:b/>
                <w:sz w:val="24"/>
                <w:szCs w:val="24"/>
              </w:rPr>
              <w:t>Coefficient</w:t>
            </w:r>
          </w:p>
        </w:tc>
        <w:tc>
          <w:tcPr>
            <w:tcW w:w="494" w:type="pct"/>
          </w:tcPr>
          <w:p w14:paraId="043B83F4" w14:textId="77777777" w:rsidR="0050122D" w:rsidRPr="0050122D" w:rsidRDefault="0050122D" w:rsidP="0050122D">
            <w:pPr>
              <w:spacing w:before="60" w:after="60"/>
              <w:jc w:val="center"/>
              <w:rPr>
                <w:b/>
                <w:sz w:val="24"/>
                <w:szCs w:val="24"/>
              </w:rPr>
            </w:pPr>
            <w:r w:rsidRPr="0050122D">
              <w:rPr>
                <w:b/>
                <w:sz w:val="24"/>
                <w:szCs w:val="24"/>
              </w:rPr>
              <w:t>P-Value</w:t>
            </w:r>
          </w:p>
        </w:tc>
      </w:tr>
      <w:tr w:rsidR="0050122D" w:rsidRPr="0050122D" w14:paraId="6A01F00C" w14:textId="77777777" w:rsidTr="0043536F">
        <w:tc>
          <w:tcPr>
            <w:tcW w:w="494" w:type="pct"/>
          </w:tcPr>
          <w:p w14:paraId="4B29A373" w14:textId="77777777" w:rsidR="0050122D" w:rsidRPr="0050122D" w:rsidRDefault="0050122D" w:rsidP="0050122D">
            <w:pPr>
              <w:spacing w:before="60" w:after="60"/>
              <w:rPr>
                <w:sz w:val="24"/>
                <w:szCs w:val="24"/>
              </w:rPr>
            </w:pPr>
            <w:r w:rsidRPr="0050122D">
              <w:rPr>
                <w:sz w:val="24"/>
                <w:szCs w:val="24"/>
              </w:rPr>
              <w:t>0.10</w:t>
            </w:r>
          </w:p>
        </w:tc>
        <w:tc>
          <w:tcPr>
            <w:tcW w:w="617" w:type="pct"/>
          </w:tcPr>
          <w:p w14:paraId="177054B6" w14:textId="77777777" w:rsidR="0050122D" w:rsidRPr="0050122D" w:rsidRDefault="0050122D" w:rsidP="0050122D">
            <w:pPr>
              <w:spacing w:before="60" w:after="60"/>
              <w:rPr>
                <w:sz w:val="24"/>
                <w:szCs w:val="24"/>
              </w:rPr>
            </w:pPr>
            <w:r w:rsidRPr="0050122D">
              <w:rPr>
                <w:sz w:val="24"/>
                <w:szCs w:val="24"/>
              </w:rPr>
              <w:t>-0.860</w:t>
            </w:r>
          </w:p>
        </w:tc>
        <w:tc>
          <w:tcPr>
            <w:tcW w:w="556" w:type="pct"/>
          </w:tcPr>
          <w:p w14:paraId="4B6E8D1A"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6B28071E" w14:textId="77777777" w:rsidR="0050122D" w:rsidRPr="0050122D" w:rsidRDefault="0050122D" w:rsidP="0050122D">
            <w:pPr>
              <w:spacing w:before="60" w:after="60"/>
              <w:rPr>
                <w:sz w:val="24"/>
                <w:szCs w:val="24"/>
              </w:rPr>
            </w:pPr>
            <w:r w:rsidRPr="0050122D">
              <w:rPr>
                <w:sz w:val="24"/>
                <w:szCs w:val="24"/>
              </w:rPr>
              <w:t>-23.802</w:t>
            </w:r>
          </w:p>
        </w:tc>
        <w:tc>
          <w:tcPr>
            <w:tcW w:w="494" w:type="pct"/>
          </w:tcPr>
          <w:p w14:paraId="79A60095" w14:textId="77777777" w:rsidR="0050122D" w:rsidRPr="0050122D" w:rsidRDefault="0050122D" w:rsidP="0050122D">
            <w:pPr>
              <w:spacing w:before="60" w:after="60"/>
              <w:rPr>
                <w:sz w:val="24"/>
                <w:szCs w:val="24"/>
              </w:rPr>
            </w:pPr>
            <w:r w:rsidRPr="0050122D">
              <w:rPr>
                <w:sz w:val="24"/>
                <w:szCs w:val="24"/>
              </w:rPr>
              <w:t>0.036**</w:t>
            </w:r>
          </w:p>
        </w:tc>
        <w:tc>
          <w:tcPr>
            <w:tcW w:w="617" w:type="pct"/>
          </w:tcPr>
          <w:p w14:paraId="7071498A" w14:textId="77777777" w:rsidR="0050122D" w:rsidRPr="0050122D" w:rsidRDefault="0050122D" w:rsidP="0050122D">
            <w:pPr>
              <w:spacing w:before="60" w:after="60"/>
              <w:rPr>
                <w:sz w:val="24"/>
                <w:szCs w:val="24"/>
              </w:rPr>
            </w:pPr>
            <w:r w:rsidRPr="0050122D">
              <w:rPr>
                <w:sz w:val="24"/>
                <w:szCs w:val="24"/>
              </w:rPr>
              <w:t>1.2181</w:t>
            </w:r>
          </w:p>
        </w:tc>
        <w:tc>
          <w:tcPr>
            <w:tcW w:w="494" w:type="pct"/>
          </w:tcPr>
          <w:p w14:paraId="451F2540"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56E4D44D" w14:textId="77777777" w:rsidR="0050122D" w:rsidRPr="0050122D" w:rsidRDefault="0050122D" w:rsidP="0050122D">
            <w:pPr>
              <w:spacing w:before="60" w:after="60"/>
              <w:rPr>
                <w:sz w:val="24"/>
                <w:szCs w:val="24"/>
              </w:rPr>
            </w:pPr>
            <w:r w:rsidRPr="0050122D">
              <w:rPr>
                <w:sz w:val="24"/>
                <w:szCs w:val="24"/>
              </w:rPr>
              <w:t>10.213</w:t>
            </w:r>
          </w:p>
        </w:tc>
        <w:tc>
          <w:tcPr>
            <w:tcW w:w="494" w:type="pct"/>
          </w:tcPr>
          <w:p w14:paraId="23B175D3" w14:textId="77777777" w:rsidR="0050122D" w:rsidRPr="0050122D" w:rsidRDefault="0050122D" w:rsidP="0050122D">
            <w:pPr>
              <w:spacing w:before="60" w:after="60"/>
              <w:rPr>
                <w:sz w:val="24"/>
                <w:szCs w:val="24"/>
              </w:rPr>
            </w:pPr>
            <w:r w:rsidRPr="0050122D">
              <w:rPr>
                <w:sz w:val="24"/>
                <w:szCs w:val="24"/>
              </w:rPr>
              <w:t>0.054*</w:t>
            </w:r>
          </w:p>
        </w:tc>
      </w:tr>
      <w:tr w:rsidR="0050122D" w:rsidRPr="0050122D" w14:paraId="20CF6ABF" w14:textId="77777777" w:rsidTr="0043536F">
        <w:tc>
          <w:tcPr>
            <w:tcW w:w="494" w:type="pct"/>
          </w:tcPr>
          <w:p w14:paraId="6762F8BD" w14:textId="77777777" w:rsidR="0050122D" w:rsidRPr="0050122D" w:rsidRDefault="0050122D" w:rsidP="0050122D">
            <w:pPr>
              <w:spacing w:before="60" w:after="60"/>
              <w:rPr>
                <w:sz w:val="24"/>
                <w:szCs w:val="24"/>
              </w:rPr>
            </w:pPr>
            <w:r w:rsidRPr="0050122D">
              <w:rPr>
                <w:sz w:val="24"/>
                <w:szCs w:val="24"/>
              </w:rPr>
              <w:t>0.25</w:t>
            </w:r>
          </w:p>
        </w:tc>
        <w:tc>
          <w:tcPr>
            <w:tcW w:w="617" w:type="pct"/>
          </w:tcPr>
          <w:p w14:paraId="5AED5894" w14:textId="77777777" w:rsidR="0050122D" w:rsidRPr="0050122D" w:rsidRDefault="0050122D" w:rsidP="0050122D">
            <w:pPr>
              <w:spacing w:before="60" w:after="60"/>
              <w:rPr>
                <w:sz w:val="24"/>
                <w:szCs w:val="24"/>
              </w:rPr>
            </w:pPr>
            <w:r w:rsidRPr="0050122D">
              <w:rPr>
                <w:sz w:val="24"/>
                <w:szCs w:val="24"/>
              </w:rPr>
              <w:t>-0.965</w:t>
            </w:r>
          </w:p>
        </w:tc>
        <w:tc>
          <w:tcPr>
            <w:tcW w:w="556" w:type="pct"/>
          </w:tcPr>
          <w:p w14:paraId="5E6C1183"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72E8B012" w14:textId="77777777" w:rsidR="0050122D" w:rsidRPr="0050122D" w:rsidRDefault="0050122D" w:rsidP="0050122D">
            <w:pPr>
              <w:spacing w:before="60" w:after="60"/>
              <w:rPr>
                <w:sz w:val="24"/>
                <w:szCs w:val="24"/>
              </w:rPr>
            </w:pPr>
            <w:r w:rsidRPr="0050122D">
              <w:rPr>
                <w:sz w:val="24"/>
                <w:szCs w:val="24"/>
              </w:rPr>
              <w:t>-24.761</w:t>
            </w:r>
          </w:p>
        </w:tc>
        <w:tc>
          <w:tcPr>
            <w:tcW w:w="494" w:type="pct"/>
          </w:tcPr>
          <w:p w14:paraId="63B78871" w14:textId="77777777" w:rsidR="0050122D" w:rsidRPr="0050122D" w:rsidRDefault="0050122D" w:rsidP="0050122D">
            <w:pPr>
              <w:spacing w:before="60" w:after="60"/>
              <w:rPr>
                <w:sz w:val="24"/>
                <w:szCs w:val="24"/>
              </w:rPr>
            </w:pPr>
            <w:r w:rsidRPr="0050122D">
              <w:rPr>
                <w:sz w:val="24"/>
                <w:szCs w:val="24"/>
              </w:rPr>
              <w:t>0.013**</w:t>
            </w:r>
          </w:p>
        </w:tc>
        <w:tc>
          <w:tcPr>
            <w:tcW w:w="617" w:type="pct"/>
          </w:tcPr>
          <w:p w14:paraId="12FA3217" w14:textId="77777777" w:rsidR="0050122D" w:rsidRPr="0050122D" w:rsidRDefault="0050122D" w:rsidP="0050122D">
            <w:pPr>
              <w:spacing w:before="60" w:after="60"/>
              <w:rPr>
                <w:sz w:val="24"/>
                <w:szCs w:val="24"/>
              </w:rPr>
            </w:pPr>
            <w:r w:rsidRPr="0050122D">
              <w:rPr>
                <w:sz w:val="24"/>
                <w:szCs w:val="24"/>
              </w:rPr>
              <w:t>1.213</w:t>
            </w:r>
          </w:p>
        </w:tc>
        <w:tc>
          <w:tcPr>
            <w:tcW w:w="494" w:type="pct"/>
          </w:tcPr>
          <w:p w14:paraId="23606A6F"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44DFE224" w14:textId="77777777" w:rsidR="0050122D" w:rsidRPr="0050122D" w:rsidRDefault="0050122D" w:rsidP="0050122D">
            <w:pPr>
              <w:spacing w:before="60" w:after="60"/>
              <w:rPr>
                <w:sz w:val="24"/>
                <w:szCs w:val="24"/>
              </w:rPr>
            </w:pPr>
            <w:r w:rsidRPr="0050122D">
              <w:rPr>
                <w:sz w:val="24"/>
                <w:szCs w:val="24"/>
              </w:rPr>
              <w:t>10.274</w:t>
            </w:r>
          </w:p>
        </w:tc>
        <w:tc>
          <w:tcPr>
            <w:tcW w:w="494" w:type="pct"/>
          </w:tcPr>
          <w:p w14:paraId="5BF3534C" w14:textId="77777777" w:rsidR="0050122D" w:rsidRPr="0050122D" w:rsidRDefault="0050122D" w:rsidP="0050122D">
            <w:pPr>
              <w:spacing w:before="60" w:after="60"/>
              <w:rPr>
                <w:sz w:val="24"/>
                <w:szCs w:val="24"/>
              </w:rPr>
            </w:pPr>
            <w:r w:rsidRPr="0050122D">
              <w:rPr>
                <w:sz w:val="24"/>
                <w:szCs w:val="24"/>
              </w:rPr>
              <w:t>0.024**</w:t>
            </w:r>
          </w:p>
        </w:tc>
      </w:tr>
      <w:tr w:rsidR="0050122D" w:rsidRPr="0050122D" w14:paraId="642DDB85" w14:textId="77777777" w:rsidTr="0043536F">
        <w:tc>
          <w:tcPr>
            <w:tcW w:w="494" w:type="pct"/>
          </w:tcPr>
          <w:p w14:paraId="503ED696" w14:textId="77777777" w:rsidR="0050122D" w:rsidRPr="0050122D" w:rsidRDefault="0050122D" w:rsidP="0050122D">
            <w:pPr>
              <w:spacing w:before="60" w:after="60"/>
              <w:rPr>
                <w:sz w:val="24"/>
                <w:szCs w:val="24"/>
              </w:rPr>
            </w:pPr>
            <w:r w:rsidRPr="0050122D">
              <w:rPr>
                <w:sz w:val="24"/>
                <w:szCs w:val="24"/>
              </w:rPr>
              <w:t>0.40</w:t>
            </w:r>
          </w:p>
        </w:tc>
        <w:tc>
          <w:tcPr>
            <w:tcW w:w="617" w:type="pct"/>
          </w:tcPr>
          <w:p w14:paraId="15BB10FC" w14:textId="77777777" w:rsidR="0050122D" w:rsidRPr="0050122D" w:rsidRDefault="0050122D" w:rsidP="0050122D">
            <w:pPr>
              <w:spacing w:before="60" w:after="60"/>
              <w:rPr>
                <w:sz w:val="24"/>
                <w:szCs w:val="24"/>
              </w:rPr>
            </w:pPr>
            <w:r w:rsidRPr="0050122D">
              <w:rPr>
                <w:sz w:val="24"/>
                <w:szCs w:val="24"/>
              </w:rPr>
              <w:t>-0.982</w:t>
            </w:r>
          </w:p>
        </w:tc>
        <w:tc>
          <w:tcPr>
            <w:tcW w:w="556" w:type="pct"/>
          </w:tcPr>
          <w:p w14:paraId="44875AE1"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17B64095" w14:textId="77777777" w:rsidR="0050122D" w:rsidRPr="0050122D" w:rsidRDefault="0050122D" w:rsidP="0050122D">
            <w:pPr>
              <w:spacing w:before="60" w:after="60"/>
              <w:rPr>
                <w:sz w:val="24"/>
                <w:szCs w:val="24"/>
              </w:rPr>
            </w:pPr>
            <w:r w:rsidRPr="0050122D">
              <w:rPr>
                <w:sz w:val="24"/>
                <w:szCs w:val="24"/>
              </w:rPr>
              <w:t>-25.228</w:t>
            </w:r>
          </w:p>
        </w:tc>
        <w:tc>
          <w:tcPr>
            <w:tcW w:w="494" w:type="pct"/>
          </w:tcPr>
          <w:p w14:paraId="45D85B9C" w14:textId="77777777" w:rsidR="0050122D" w:rsidRPr="0050122D" w:rsidRDefault="0050122D" w:rsidP="0050122D">
            <w:pPr>
              <w:spacing w:before="60" w:after="60"/>
              <w:rPr>
                <w:sz w:val="24"/>
                <w:szCs w:val="24"/>
              </w:rPr>
            </w:pPr>
            <w:r w:rsidRPr="0050122D">
              <w:rPr>
                <w:sz w:val="24"/>
                <w:szCs w:val="24"/>
              </w:rPr>
              <w:t>0.010**</w:t>
            </w:r>
          </w:p>
        </w:tc>
        <w:tc>
          <w:tcPr>
            <w:tcW w:w="617" w:type="pct"/>
          </w:tcPr>
          <w:p w14:paraId="183F5474" w14:textId="77777777" w:rsidR="0050122D" w:rsidRPr="0050122D" w:rsidRDefault="0050122D" w:rsidP="0050122D">
            <w:pPr>
              <w:spacing w:before="60" w:after="60"/>
              <w:rPr>
                <w:sz w:val="24"/>
                <w:szCs w:val="24"/>
              </w:rPr>
            </w:pPr>
            <w:r w:rsidRPr="0050122D">
              <w:rPr>
                <w:sz w:val="24"/>
                <w:szCs w:val="24"/>
              </w:rPr>
              <w:t>1.215</w:t>
            </w:r>
          </w:p>
        </w:tc>
        <w:tc>
          <w:tcPr>
            <w:tcW w:w="494" w:type="pct"/>
          </w:tcPr>
          <w:p w14:paraId="5097A561"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64B05FC4" w14:textId="77777777" w:rsidR="0050122D" w:rsidRPr="0050122D" w:rsidRDefault="0050122D" w:rsidP="0050122D">
            <w:pPr>
              <w:spacing w:before="60" w:after="60"/>
              <w:rPr>
                <w:sz w:val="24"/>
                <w:szCs w:val="24"/>
              </w:rPr>
            </w:pPr>
            <w:r w:rsidRPr="0050122D">
              <w:rPr>
                <w:sz w:val="24"/>
                <w:szCs w:val="24"/>
              </w:rPr>
              <w:t>10.616</w:t>
            </w:r>
          </w:p>
        </w:tc>
        <w:tc>
          <w:tcPr>
            <w:tcW w:w="494" w:type="pct"/>
          </w:tcPr>
          <w:p w14:paraId="5D56C0C3" w14:textId="77777777" w:rsidR="0050122D" w:rsidRPr="0050122D" w:rsidRDefault="0050122D" w:rsidP="0050122D">
            <w:pPr>
              <w:spacing w:before="60" w:after="60"/>
              <w:rPr>
                <w:sz w:val="24"/>
                <w:szCs w:val="24"/>
              </w:rPr>
            </w:pPr>
            <w:r w:rsidRPr="0050122D">
              <w:rPr>
                <w:sz w:val="24"/>
                <w:szCs w:val="24"/>
              </w:rPr>
              <w:t>0.018**</w:t>
            </w:r>
          </w:p>
        </w:tc>
      </w:tr>
      <w:tr w:rsidR="0050122D" w:rsidRPr="0050122D" w14:paraId="2E0D1423" w14:textId="77777777" w:rsidTr="0043536F">
        <w:tc>
          <w:tcPr>
            <w:tcW w:w="494" w:type="pct"/>
          </w:tcPr>
          <w:p w14:paraId="4E4B5F9F" w14:textId="77777777" w:rsidR="0050122D" w:rsidRPr="0050122D" w:rsidRDefault="0050122D" w:rsidP="0050122D">
            <w:pPr>
              <w:spacing w:before="60" w:after="60"/>
              <w:rPr>
                <w:sz w:val="24"/>
                <w:szCs w:val="24"/>
              </w:rPr>
            </w:pPr>
            <w:r w:rsidRPr="0050122D">
              <w:rPr>
                <w:sz w:val="24"/>
                <w:szCs w:val="24"/>
              </w:rPr>
              <w:t>0.50</w:t>
            </w:r>
          </w:p>
        </w:tc>
        <w:tc>
          <w:tcPr>
            <w:tcW w:w="617" w:type="pct"/>
          </w:tcPr>
          <w:p w14:paraId="3CA03C97" w14:textId="77777777" w:rsidR="0050122D" w:rsidRPr="0050122D" w:rsidRDefault="0050122D" w:rsidP="0050122D">
            <w:pPr>
              <w:spacing w:before="60" w:after="60"/>
              <w:rPr>
                <w:sz w:val="24"/>
                <w:szCs w:val="24"/>
              </w:rPr>
            </w:pPr>
            <w:r w:rsidRPr="0050122D">
              <w:rPr>
                <w:sz w:val="24"/>
                <w:szCs w:val="24"/>
              </w:rPr>
              <w:t>-0.9199</w:t>
            </w:r>
          </w:p>
        </w:tc>
        <w:tc>
          <w:tcPr>
            <w:tcW w:w="556" w:type="pct"/>
          </w:tcPr>
          <w:p w14:paraId="6A4140EC" w14:textId="77777777" w:rsidR="0050122D" w:rsidRPr="0050122D" w:rsidRDefault="0050122D" w:rsidP="0050122D">
            <w:pPr>
              <w:spacing w:before="60" w:after="60"/>
              <w:rPr>
                <w:sz w:val="24"/>
                <w:szCs w:val="24"/>
              </w:rPr>
            </w:pPr>
            <w:r w:rsidRPr="0050122D">
              <w:rPr>
                <w:sz w:val="24"/>
                <w:szCs w:val="24"/>
              </w:rPr>
              <w:t>0.008***</w:t>
            </w:r>
          </w:p>
        </w:tc>
        <w:tc>
          <w:tcPr>
            <w:tcW w:w="617" w:type="pct"/>
          </w:tcPr>
          <w:p w14:paraId="6464964B" w14:textId="77777777" w:rsidR="0050122D" w:rsidRPr="0050122D" w:rsidRDefault="0050122D" w:rsidP="0050122D">
            <w:pPr>
              <w:spacing w:before="60" w:after="60"/>
              <w:rPr>
                <w:sz w:val="24"/>
                <w:szCs w:val="24"/>
              </w:rPr>
            </w:pPr>
            <w:r w:rsidRPr="0050122D">
              <w:rPr>
                <w:sz w:val="24"/>
                <w:szCs w:val="24"/>
              </w:rPr>
              <w:t>-24.600</w:t>
            </w:r>
          </w:p>
        </w:tc>
        <w:tc>
          <w:tcPr>
            <w:tcW w:w="494" w:type="pct"/>
          </w:tcPr>
          <w:p w14:paraId="01E69F0E" w14:textId="77777777" w:rsidR="0050122D" w:rsidRPr="0050122D" w:rsidRDefault="0050122D" w:rsidP="0050122D">
            <w:pPr>
              <w:spacing w:before="60" w:after="60"/>
              <w:rPr>
                <w:sz w:val="24"/>
                <w:szCs w:val="24"/>
              </w:rPr>
            </w:pPr>
            <w:r w:rsidRPr="0050122D">
              <w:rPr>
                <w:sz w:val="24"/>
                <w:szCs w:val="24"/>
              </w:rPr>
              <w:t>0.001***</w:t>
            </w:r>
          </w:p>
        </w:tc>
        <w:tc>
          <w:tcPr>
            <w:tcW w:w="617" w:type="pct"/>
          </w:tcPr>
          <w:p w14:paraId="07708D78" w14:textId="77777777" w:rsidR="0050122D" w:rsidRPr="0050122D" w:rsidRDefault="0050122D" w:rsidP="0050122D">
            <w:pPr>
              <w:spacing w:before="60" w:after="60"/>
              <w:rPr>
                <w:sz w:val="24"/>
                <w:szCs w:val="24"/>
              </w:rPr>
            </w:pPr>
            <w:r w:rsidRPr="0050122D">
              <w:rPr>
                <w:sz w:val="24"/>
                <w:szCs w:val="24"/>
              </w:rPr>
              <w:t>1.245</w:t>
            </w:r>
          </w:p>
        </w:tc>
        <w:tc>
          <w:tcPr>
            <w:tcW w:w="494" w:type="pct"/>
          </w:tcPr>
          <w:p w14:paraId="03EFDC9D"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23EF16FE" w14:textId="77777777" w:rsidR="0050122D" w:rsidRPr="0050122D" w:rsidRDefault="0050122D" w:rsidP="0050122D">
            <w:pPr>
              <w:spacing w:before="60" w:after="60"/>
              <w:rPr>
                <w:sz w:val="24"/>
                <w:szCs w:val="24"/>
              </w:rPr>
            </w:pPr>
            <w:r w:rsidRPr="0050122D">
              <w:rPr>
                <w:sz w:val="24"/>
                <w:szCs w:val="24"/>
              </w:rPr>
              <w:t>12.112</w:t>
            </w:r>
          </w:p>
        </w:tc>
        <w:tc>
          <w:tcPr>
            <w:tcW w:w="494" w:type="pct"/>
          </w:tcPr>
          <w:p w14:paraId="2651E00D" w14:textId="77777777" w:rsidR="0050122D" w:rsidRPr="0050122D" w:rsidRDefault="0050122D" w:rsidP="0050122D">
            <w:pPr>
              <w:spacing w:before="60" w:after="60"/>
              <w:rPr>
                <w:sz w:val="24"/>
                <w:szCs w:val="24"/>
              </w:rPr>
            </w:pPr>
            <w:r w:rsidRPr="0050122D">
              <w:rPr>
                <w:sz w:val="24"/>
                <w:szCs w:val="24"/>
              </w:rPr>
              <w:t>0.000***</w:t>
            </w:r>
          </w:p>
        </w:tc>
      </w:tr>
      <w:tr w:rsidR="0050122D" w:rsidRPr="0050122D" w14:paraId="3B76C9C5" w14:textId="77777777" w:rsidTr="0043536F">
        <w:tc>
          <w:tcPr>
            <w:tcW w:w="494" w:type="pct"/>
          </w:tcPr>
          <w:p w14:paraId="46CA4C25" w14:textId="77777777" w:rsidR="0050122D" w:rsidRPr="0050122D" w:rsidRDefault="0050122D" w:rsidP="0050122D">
            <w:pPr>
              <w:spacing w:before="60" w:after="60"/>
              <w:rPr>
                <w:sz w:val="24"/>
                <w:szCs w:val="24"/>
              </w:rPr>
            </w:pPr>
            <w:r w:rsidRPr="0050122D">
              <w:rPr>
                <w:sz w:val="24"/>
                <w:szCs w:val="24"/>
              </w:rPr>
              <w:t>0.60</w:t>
            </w:r>
          </w:p>
        </w:tc>
        <w:tc>
          <w:tcPr>
            <w:tcW w:w="617" w:type="pct"/>
          </w:tcPr>
          <w:p w14:paraId="59D80194" w14:textId="77777777" w:rsidR="0050122D" w:rsidRPr="0050122D" w:rsidRDefault="0050122D" w:rsidP="0050122D">
            <w:pPr>
              <w:spacing w:before="60" w:after="60"/>
              <w:rPr>
                <w:sz w:val="24"/>
                <w:szCs w:val="24"/>
              </w:rPr>
            </w:pPr>
            <w:r w:rsidRPr="0050122D">
              <w:rPr>
                <w:sz w:val="24"/>
                <w:szCs w:val="24"/>
              </w:rPr>
              <w:t>-0.9220</w:t>
            </w:r>
          </w:p>
        </w:tc>
        <w:tc>
          <w:tcPr>
            <w:tcW w:w="556" w:type="pct"/>
          </w:tcPr>
          <w:p w14:paraId="4EC1784F" w14:textId="77777777" w:rsidR="0050122D" w:rsidRPr="0050122D" w:rsidRDefault="0050122D" w:rsidP="0050122D">
            <w:pPr>
              <w:spacing w:before="60" w:after="60"/>
              <w:rPr>
                <w:sz w:val="24"/>
                <w:szCs w:val="24"/>
              </w:rPr>
            </w:pPr>
            <w:r w:rsidRPr="0050122D">
              <w:rPr>
                <w:sz w:val="24"/>
                <w:szCs w:val="24"/>
              </w:rPr>
              <w:t>0.0112**</w:t>
            </w:r>
          </w:p>
        </w:tc>
        <w:tc>
          <w:tcPr>
            <w:tcW w:w="617" w:type="pct"/>
          </w:tcPr>
          <w:p w14:paraId="6F315DF7" w14:textId="77777777" w:rsidR="0050122D" w:rsidRPr="0050122D" w:rsidRDefault="0050122D" w:rsidP="0050122D">
            <w:pPr>
              <w:spacing w:before="60" w:after="60"/>
              <w:rPr>
                <w:sz w:val="24"/>
                <w:szCs w:val="24"/>
              </w:rPr>
            </w:pPr>
            <w:r w:rsidRPr="0050122D">
              <w:rPr>
                <w:sz w:val="24"/>
                <w:szCs w:val="24"/>
              </w:rPr>
              <w:t>-24.026</w:t>
            </w:r>
          </w:p>
        </w:tc>
        <w:tc>
          <w:tcPr>
            <w:tcW w:w="494" w:type="pct"/>
          </w:tcPr>
          <w:p w14:paraId="53EEC2D1" w14:textId="77777777" w:rsidR="0050122D" w:rsidRPr="0050122D" w:rsidRDefault="0050122D" w:rsidP="0050122D">
            <w:pPr>
              <w:spacing w:before="60" w:after="60"/>
              <w:rPr>
                <w:sz w:val="24"/>
                <w:szCs w:val="24"/>
              </w:rPr>
            </w:pPr>
            <w:r w:rsidRPr="0050122D">
              <w:rPr>
                <w:sz w:val="24"/>
                <w:szCs w:val="24"/>
              </w:rPr>
              <w:t>0.002***</w:t>
            </w:r>
          </w:p>
        </w:tc>
        <w:tc>
          <w:tcPr>
            <w:tcW w:w="617" w:type="pct"/>
          </w:tcPr>
          <w:p w14:paraId="09B4AFF5" w14:textId="77777777" w:rsidR="0050122D" w:rsidRPr="0050122D" w:rsidRDefault="0050122D" w:rsidP="0050122D">
            <w:pPr>
              <w:spacing w:before="60" w:after="60"/>
              <w:rPr>
                <w:sz w:val="24"/>
                <w:szCs w:val="24"/>
              </w:rPr>
            </w:pPr>
            <w:r w:rsidRPr="0050122D">
              <w:rPr>
                <w:sz w:val="24"/>
                <w:szCs w:val="24"/>
              </w:rPr>
              <w:t>1.245</w:t>
            </w:r>
          </w:p>
        </w:tc>
        <w:tc>
          <w:tcPr>
            <w:tcW w:w="494" w:type="pct"/>
          </w:tcPr>
          <w:p w14:paraId="73CF1049"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69B0A8E4" w14:textId="77777777" w:rsidR="0050122D" w:rsidRPr="0050122D" w:rsidRDefault="0050122D" w:rsidP="0050122D">
            <w:pPr>
              <w:spacing w:before="60" w:after="60"/>
              <w:rPr>
                <w:sz w:val="24"/>
                <w:szCs w:val="24"/>
              </w:rPr>
            </w:pPr>
            <w:r w:rsidRPr="0050122D">
              <w:rPr>
                <w:sz w:val="24"/>
                <w:szCs w:val="24"/>
              </w:rPr>
              <w:t>11.880</w:t>
            </w:r>
          </w:p>
        </w:tc>
        <w:tc>
          <w:tcPr>
            <w:tcW w:w="494" w:type="pct"/>
          </w:tcPr>
          <w:p w14:paraId="394C3415" w14:textId="77777777" w:rsidR="0050122D" w:rsidRPr="0050122D" w:rsidRDefault="0050122D" w:rsidP="0050122D">
            <w:pPr>
              <w:spacing w:before="60" w:after="60"/>
              <w:rPr>
                <w:sz w:val="24"/>
                <w:szCs w:val="24"/>
              </w:rPr>
            </w:pPr>
            <w:r w:rsidRPr="0050122D">
              <w:rPr>
                <w:sz w:val="24"/>
                <w:szCs w:val="24"/>
              </w:rPr>
              <w:t>0.001***</w:t>
            </w:r>
          </w:p>
        </w:tc>
      </w:tr>
      <w:tr w:rsidR="0050122D" w:rsidRPr="0050122D" w14:paraId="5A0BA7D7" w14:textId="77777777" w:rsidTr="0043536F">
        <w:tc>
          <w:tcPr>
            <w:tcW w:w="494" w:type="pct"/>
          </w:tcPr>
          <w:p w14:paraId="572750A0" w14:textId="77777777" w:rsidR="0050122D" w:rsidRPr="0050122D" w:rsidRDefault="0050122D" w:rsidP="0050122D">
            <w:pPr>
              <w:spacing w:before="60" w:after="60"/>
              <w:rPr>
                <w:sz w:val="24"/>
                <w:szCs w:val="24"/>
              </w:rPr>
            </w:pPr>
            <w:bookmarkStart w:id="98" w:name="_Hlk176788157"/>
            <w:r w:rsidRPr="0050122D">
              <w:rPr>
                <w:sz w:val="24"/>
                <w:szCs w:val="24"/>
              </w:rPr>
              <w:t>0.75</w:t>
            </w:r>
            <w:bookmarkEnd w:id="98"/>
          </w:p>
        </w:tc>
        <w:tc>
          <w:tcPr>
            <w:tcW w:w="617" w:type="pct"/>
          </w:tcPr>
          <w:p w14:paraId="1A4CDD99" w14:textId="77777777" w:rsidR="0050122D" w:rsidRPr="0050122D" w:rsidRDefault="0050122D" w:rsidP="0050122D">
            <w:pPr>
              <w:spacing w:before="60" w:after="60"/>
              <w:rPr>
                <w:sz w:val="24"/>
                <w:szCs w:val="24"/>
              </w:rPr>
            </w:pPr>
            <w:r w:rsidRPr="0050122D">
              <w:rPr>
                <w:sz w:val="24"/>
                <w:szCs w:val="24"/>
              </w:rPr>
              <w:t>-0.6838</w:t>
            </w:r>
          </w:p>
        </w:tc>
        <w:tc>
          <w:tcPr>
            <w:tcW w:w="556" w:type="pct"/>
          </w:tcPr>
          <w:p w14:paraId="11DDF766" w14:textId="77777777" w:rsidR="0050122D" w:rsidRPr="0050122D" w:rsidRDefault="0050122D" w:rsidP="0050122D">
            <w:pPr>
              <w:spacing w:before="60" w:after="60"/>
              <w:rPr>
                <w:sz w:val="24"/>
                <w:szCs w:val="24"/>
              </w:rPr>
            </w:pPr>
            <w:r w:rsidRPr="0050122D">
              <w:rPr>
                <w:sz w:val="24"/>
                <w:szCs w:val="24"/>
              </w:rPr>
              <w:t>0.0681*</w:t>
            </w:r>
          </w:p>
        </w:tc>
        <w:tc>
          <w:tcPr>
            <w:tcW w:w="617" w:type="pct"/>
          </w:tcPr>
          <w:p w14:paraId="0B68BC1B" w14:textId="77777777" w:rsidR="0050122D" w:rsidRPr="0050122D" w:rsidRDefault="0050122D" w:rsidP="0050122D">
            <w:pPr>
              <w:spacing w:before="60" w:after="60"/>
              <w:rPr>
                <w:sz w:val="24"/>
                <w:szCs w:val="24"/>
              </w:rPr>
            </w:pPr>
            <w:bookmarkStart w:id="99" w:name="_Hlk176788464"/>
            <w:r w:rsidRPr="0050122D">
              <w:rPr>
                <w:sz w:val="24"/>
                <w:szCs w:val="24"/>
              </w:rPr>
              <w:t>-14.700</w:t>
            </w:r>
            <w:bookmarkEnd w:id="99"/>
          </w:p>
        </w:tc>
        <w:tc>
          <w:tcPr>
            <w:tcW w:w="494" w:type="pct"/>
          </w:tcPr>
          <w:p w14:paraId="4C050630" w14:textId="77777777" w:rsidR="0050122D" w:rsidRPr="0050122D" w:rsidRDefault="0050122D" w:rsidP="0050122D">
            <w:pPr>
              <w:spacing w:before="60" w:after="60"/>
              <w:rPr>
                <w:sz w:val="24"/>
                <w:szCs w:val="24"/>
              </w:rPr>
            </w:pPr>
            <w:r w:rsidRPr="0050122D">
              <w:rPr>
                <w:sz w:val="24"/>
                <w:szCs w:val="24"/>
              </w:rPr>
              <w:t>0.038**</w:t>
            </w:r>
          </w:p>
        </w:tc>
        <w:tc>
          <w:tcPr>
            <w:tcW w:w="617" w:type="pct"/>
          </w:tcPr>
          <w:p w14:paraId="77CB49FC" w14:textId="77777777" w:rsidR="0050122D" w:rsidRPr="0050122D" w:rsidRDefault="0050122D" w:rsidP="0050122D">
            <w:pPr>
              <w:spacing w:before="60" w:after="60"/>
              <w:rPr>
                <w:sz w:val="24"/>
                <w:szCs w:val="24"/>
              </w:rPr>
            </w:pPr>
            <w:r w:rsidRPr="0050122D">
              <w:rPr>
                <w:sz w:val="24"/>
                <w:szCs w:val="24"/>
              </w:rPr>
              <w:t>1.233</w:t>
            </w:r>
          </w:p>
        </w:tc>
        <w:tc>
          <w:tcPr>
            <w:tcW w:w="494" w:type="pct"/>
          </w:tcPr>
          <w:p w14:paraId="4CE22DA0"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1BFD2E51" w14:textId="77777777" w:rsidR="0050122D" w:rsidRPr="0050122D" w:rsidRDefault="0050122D" w:rsidP="0050122D">
            <w:pPr>
              <w:spacing w:before="60" w:after="60"/>
              <w:rPr>
                <w:sz w:val="24"/>
                <w:szCs w:val="24"/>
              </w:rPr>
            </w:pPr>
            <w:r w:rsidRPr="0050122D">
              <w:rPr>
                <w:sz w:val="24"/>
                <w:szCs w:val="24"/>
              </w:rPr>
              <w:t>9.099</w:t>
            </w:r>
          </w:p>
        </w:tc>
        <w:tc>
          <w:tcPr>
            <w:tcW w:w="494" w:type="pct"/>
          </w:tcPr>
          <w:p w14:paraId="5AE68F13" w14:textId="77777777" w:rsidR="0050122D" w:rsidRPr="0050122D" w:rsidRDefault="0050122D" w:rsidP="0050122D">
            <w:pPr>
              <w:spacing w:before="60" w:after="60"/>
              <w:rPr>
                <w:sz w:val="24"/>
                <w:szCs w:val="24"/>
              </w:rPr>
            </w:pPr>
            <w:r w:rsidRPr="0050122D">
              <w:rPr>
                <w:sz w:val="24"/>
                <w:szCs w:val="24"/>
              </w:rPr>
              <w:t>0.007***</w:t>
            </w:r>
          </w:p>
        </w:tc>
      </w:tr>
      <w:tr w:rsidR="0050122D" w:rsidRPr="0050122D" w14:paraId="6B6D0AAD" w14:textId="77777777" w:rsidTr="0043536F">
        <w:tc>
          <w:tcPr>
            <w:tcW w:w="494" w:type="pct"/>
          </w:tcPr>
          <w:p w14:paraId="0C32B814" w14:textId="77777777" w:rsidR="0050122D" w:rsidRPr="0050122D" w:rsidRDefault="0050122D" w:rsidP="0050122D">
            <w:pPr>
              <w:spacing w:before="60" w:after="60"/>
              <w:rPr>
                <w:sz w:val="24"/>
                <w:szCs w:val="24"/>
              </w:rPr>
            </w:pPr>
            <w:r w:rsidRPr="0050122D">
              <w:rPr>
                <w:sz w:val="24"/>
                <w:szCs w:val="24"/>
              </w:rPr>
              <w:t>0.90</w:t>
            </w:r>
          </w:p>
        </w:tc>
        <w:tc>
          <w:tcPr>
            <w:tcW w:w="617" w:type="pct"/>
          </w:tcPr>
          <w:p w14:paraId="10CC89FF" w14:textId="77777777" w:rsidR="0050122D" w:rsidRPr="0050122D" w:rsidRDefault="0050122D" w:rsidP="0050122D">
            <w:pPr>
              <w:spacing w:before="60" w:after="60"/>
              <w:rPr>
                <w:sz w:val="24"/>
                <w:szCs w:val="24"/>
              </w:rPr>
            </w:pPr>
            <w:r w:rsidRPr="0050122D">
              <w:rPr>
                <w:sz w:val="24"/>
                <w:szCs w:val="24"/>
              </w:rPr>
              <w:t>-0.7339</w:t>
            </w:r>
          </w:p>
        </w:tc>
        <w:tc>
          <w:tcPr>
            <w:tcW w:w="556" w:type="pct"/>
          </w:tcPr>
          <w:p w14:paraId="11D6ADFE" w14:textId="77777777" w:rsidR="0050122D" w:rsidRPr="0050122D" w:rsidRDefault="0050122D" w:rsidP="0050122D">
            <w:pPr>
              <w:spacing w:before="60" w:after="60"/>
              <w:rPr>
                <w:sz w:val="24"/>
                <w:szCs w:val="24"/>
              </w:rPr>
            </w:pPr>
            <w:r w:rsidRPr="0050122D">
              <w:rPr>
                <w:sz w:val="24"/>
                <w:szCs w:val="24"/>
              </w:rPr>
              <w:t>0.058*</w:t>
            </w:r>
          </w:p>
        </w:tc>
        <w:tc>
          <w:tcPr>
            <w:tcW w:w="617" w:type="pct"/>
          </w:tcPr>
          <w:p w14:paraId="73DD9F25" w14:textId="77777777" w:rsidR="0050122D" w:rsidRPr="0050122D" w:rsidRDefault="0050122D" w:rsidP="0050122D">
            <w:pPr>
              <w:spacing w:before="60" w:after="60"/>
              <w:rPr>
                <w:sz w:val="24"/>
                <w:szCs w:val="24"/>
              </w:rPr>
            </w:pPr>
            <w:r w:rsidRPr="0050122D">
              <w:rPr>
                <w:sz w:val="24"/>
                <w:szCs w:val="24"/>
              </w:rPr>
              <w:t>-3.673</w:t>
            </w:r>
          </w:p>
        </w:tc>
        <w:tc>
          <w:tcPr>
            <w:tcW w:w="494" w:type="pct"/>
          </w:tcPr>
          <w:p w14:paraId="182F3F49" w14:textId="77777777" w:rsidR="0050122D" w:rsidRPr="0050122D" w:rsidRDefault="0050122D" w:rsidP="0050122D">
            <w:pPr>
              <w:spacing w:before="60" w:after="60"/>
              <w:rPr>
                <w:sz w:val="24"/>
                <w:szCs w:val="24"/>
              </w:rPr>
            </w:pPr>
            <w:r w:rsidRPr="0050122D">
              <w:rPr>
                <w:sz w:val="24"/>
                <w:szCs w:val="24"/>
              </w:rPr>
              <w:t>0.641</w:t>
            </w:r>
          </w:p>
        </w:tc>
        <w:tc>
          <w:tcPr>
            <w:tcW w:w="617" w:type="pct"/>
          </w:tcPr>
          <w:p w14:paraId="679B9C46" w14:textId="77777777" w:rsidR="0050122D" w:rsidRPr="0050122D" w:rsidRDefault="0050122D" w:rsidP="0050122D">
            <w:pPr>
              <w:spacing w:before="60" w:after="60"/>
              <w:rPr>
                <w:sz w:val="24"/>
                <w:szCs w:val="24"/>
              </w:rPr>
            </w:pPr>
            <w:r w:rsidRPr="0050122D">
              <w:rPr>
                <w:sz w:val="24"/>
                <w:szCs w:val="24"/>
              </w:rPr>
              <w:t>1.207</w:t>
            </w:r>
          </w:p>
        </w:tc>
        <w:tc>
          <w:tcPr>
            <w:tcW w:w="494" w:type="pct"/>
          </w:tcPr>
          <w:p w14:paraId="57C71194" w14:textId="77777777" w:rsidR="0050122D" w:rsidRPr="0050122D" w:rsidRDefault="0050122D" w:rsidP="0050122D">
            <w:pPr>
              <w:spacing w:before="60" w:after="60"/>
              <w:rPr>
                <w:sz w:val="24"/>
                <w:szCs w:val="24"/>
              </w:rPr>
            </w:pPr>
            <w:r w:rsidRPr="0050122D">
              <w:rPr>
                <w:sz w:val="24"/>
                <w:szCs w:val="24"/>
              </w:rPr>
              <w:t>0.000***</w:t>
            </w:r>
          </w:p>
        </w:tc>
        <w:tc>
          <w:tcPr>
            <w:tcW w:w="617" w:type="pct"/>
          </w:tcPr>
          <w:p w14:paraId="0AFA470A" w14:textId="77777777" w:rsidR="0050122D" w:rsidRPr="0050122D" w:rsidRDefault="0050122D" w:rsidP="0050122D">
            <w:pPr>
              <w:spacing w:before="60" w:after="60"/>
              <w:rPr>
                <w:sz w:val="24"/>
                <w:szCs w:val="24"/>
              </w:rPr>
            </w:pPr>
            <w:r w:rsidRPr="0050122D">
              <w:rPr>
                <w:sz w:val="24"/>
                <w:szCs w:val="24"/>
              </w:rPr>
              <w:t>3.184</w:t>
            </w:r>
          </w:p>
        </w:tc>
        <w:tc>
          <w:tcPr>
            <w:tcW w:w="494" w:type="pct"/>
          </w:tcPr>
          <w:p w14:paraId="3E84102B" w14:textId="77777777" w:rsidR="0050122D" w:rsidRPr="0050122D" w:rsidRDefault="0050122D" w:rsidP="0050122D">
            <w:pPr>
              <w:spacing w:before="60" w:after="60"/>
              <w:rPr>
                <w:sz w:val="24"/>
                <w:szCs w:val="24"/>
              </w:rPr>
            </w:pPr>
            <w:r w:rsidRPr="0050122D">
              <w:rPr>
                <w:sz w:val="24"/>
                <w:szCs w:val="24"/>
              </w:rPr>
              <w:t>0.376</w:t>
            </w:r>
          </w:p>
        </w:tc>
      </w:tr>
      <w:tr w:rsidR="0050122D" w:rsidRPr="0050122D" w14:paraId="0404952A" w14:textId="77777777" w:rsidTr="0043536F">
        <w:tc>
          <w:tcPr>
            <w:tcW w:w="5000" w:type="pct"/>
            <w:gridSpan w:val="9"/>
          </w:tcPr>
          <w:p w14:paraId="513F6C82" w14:textId="77777777" w:rsidR="0050122D" w:rsidRPr="0050122D" w:rsidRDefault="0050122D" w:rsidP="0050122D">
            <w:pPr>
              <w:spacing w:before="60" w:after="60"/>
              <w:rPr>
                <w:bCs/>
                <w:sz w:val="24"/>
                <w:szCs w:val="24"/>
              </w:rPr>
            </w:pPr>
            <w:r w:rsidRPr="0050122D">
              <w:rPr>
                <w:bCs/>
                <w:sz w:val="24"/>
                <w:szCs w:val="24"/>
              </w:rPr>
              <w:t>*</w:t>
            </w:r>
            <w:r w:rsidRPr="0050122D">
              <w:rPr>
                <w:bCs/>
                <w:sz w:val="24"/>
                <w:szCs w:val="24"/>
              </w:rPr>
              <w:tab/>
              <w:t>Statistically significant at 10% level</w:t>
            </w:r>
          </w:p>
          <w:p w14:paraId="0932932B" w14:textId="77777777" w:rsidR="0050122D" w:rsidRPr="0050122D" w:rsidRDefault="0050122D" w:rsidP="0050122D">
            <w:pPr>
              <w:spacing w:before="60" w:after="60"/>
              <w:rPr>
                <w:sz w:val="24"/>
                <w:szCs w:val="24"/>
              </w:rPr>
            </w:pPr>
            <w:r w:rsidRPr="0050122D">
              <w:rPr>
                <w:bCs/>
                <w:sz w:val="24"/>
                <w:szCs w:val="24"/>
              </w:rPr>
              <w:t>**</w:t>
            </w:r>
            <w:r w:rsidRPr="0050122D">
              <w:rPr>
                <w:bCs/>
                <w:sz w:val="24"/>
                <w:szCs w:val="24"/>
              </w:rPr>
              <w:tab/>
              <w:t>Statistically significant at 5% level</w:t>
            </w:r>
          </w:p>
          <w:p w14:paraId="74448739" w14:textId="77777777" w:rsidR="0050122D" w:rsidRPr="0050122D" w:rsidRDefault="0050122D" w:rsidP="0050122D">
            <w:pPr>
              <w:spacing w:before="60" w:after="60"/>
              <w:rPr>
                <w:bCs/>
                <w:sz w:val="24"/>
                <w:szCs w:val="24"/>
              </w:rPr>
            </w:pPr>
            <w:r w:rsidRPr="0050122D">
              <w:rPr>
                <w:bCs/>
                <w:sz w:val="24"/>
                <w:szCs w:val="24"/>
              </w:rPr>
              <w:t>***</w:t>
            </w:r>
            <w:r w:rsidRPr="0050122D">
              <w:rPr>
                <w:bCs/>
                <w:sz w:val="24"/>
                <w:szCs w:val="24"/>
              </w:rPr>
              <w:tab/>
              <w:t>Statistically significant at 1% level</w:t>
            </w:r>
          </w:p>
        </w:tc>
      </w:tr>
    </w:tbl>
    <w:p w14:paraId="3EDB1EAF" w14:textId="77777777" w:rsidR="0050122D" w:rsidRPr="0050122D" w:rsidRDefault="0050122D" w:rsidP="0050122D">
      <w:pPr>
        <w:spacing w:before="60" w:after="240" w:line="360" w:lineRule="auto"/>
        <w:rPr>
          <w:rFonts w:ascii="Times New Roman" w:eastAsia="Times New Roman" w:hAnsi="Times New Roman" w:cs="Times New Roman"/>
          <w:i/>
          <w:kern w:val="0"/>
          <w:sz w:val="24"/>
          <w:szCs w:val="24"/>
          <w14:ligatures w14:val="none"/>
        </w:rPr>
      </w:pPr>
      <w:r w:rsidRPr="0050122D">
        <w:rPr>
          <w:rFonts w:ascii="Times New Roman" w:eastAsia="Times New Roman" w:hAnsi="Times New Roman" w:cs="Times New Roman"/>
          <w:i/>
          <w:kern w:val="0"/>
          <w:sz w:val="24"/>
          <w:szCs w:val="24"/>
          <w14:ligatures w14:val="none"/>
        </w:rPr>
        <w:t>Source: Authors own computation using E-views 14</w:t>
      </w:r>
    </w:p>
    <w:p w14:paraId="773502C7" w14:textId="77777777" w:rsidR="0050122D" w:rsidRPr="0050122D" w:rsidRDefault="0050122D" w:rsidP="0050122D">
      <w:pPr>
        <w:spacing w:before="60" w:after="240" w:line="360" w:lineRule="auto"/>
        <w:rPr>
          <w:rFonts w:ascii="Times New Roman" w:eastAsia="Times New Roman" w:hAnsi="Times New Roman" w:cs="Times New Roman"/>
          <w:i/>
          <w:kern w:val="0"/>
          <w:sz w:val="24"/>
          <w:szCs w:val="24"/>
          <w14:ligatures w14:val="none"/>
        </w:rPr>
        <w:sectPr w:rsidR="0050122D" w:rsidRPr="0050122D" w:rsidSect="0050122D">
          <w:pgSz w:w="16840" w:h="11907" w:orient="landscape" w:code="9"/>
          <w:pgMar w:top="1418" w:right="1134" w:bottom="1134" w:left="1418" w:header="851" w:footer="1134" w:gutter="0"/>
          <w:cols w:space="708"/>
          <w:docGrid w:linePitch="360"/>
        </w:sectPr>
      </w:pPr>
    </w:p>
    <w:p w14:paraId="47B87904"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bookmarkStart w:id="100" w:name="_Hlk176793702"/>
      <w:r w:rsidRPr="0050122D">
        <w:rPr>
          <w:rFonts w:ascii="Times New Roman" w:eastAsia="Times New Roman" w:hAnsi="Times New Roman" w:cs="Times New Roman"/>
          <w:kern w:val="0"/>
          <w:sz w:val="24"/>
          <w:szCs w:val="24"/>
          <w14:ligatures w14:val="none"/>
        </w:rPr>
        <w:t>According to Table 7, household disposable income is statistically significant in the lower quantiles with positive coefficients, which means a rise in disposable income leads to an increase in household consumption, in the short run. In the middle quantiles, household disposable income has a positive statistically significant coefficient, as reported in Table 7. This signifies that an increase in household disposable income causes a rise in consumption of households in the short run. Table 7 indicates that in the upper quantiles, household disposable income has positive statistically significant coefficients, which means household disposable income is positively related to household consumption in the short run.</w:t>
      </w:r>
      <w:r w:rsidRPr="0050122D">
        <w:rPr>
          <w:rFonts w:ascii="Times New Roman" w:eastAsia="Times New Roman" w:hAnsi="Times New Roman" w:cs="Times New Roman"/>
          <w:kern w:val="0"/>
          <w:sz w:val="24"/>
          <w:szCs w:val="24"/>
          <w:shd w:val="clear" w:color="auto" w:fill="FFFFFF"/>
          <w14:ligatures w14:val="none"/>
        </w:rPr>
        <w:t xml:space="preserve"> </w:t>
      </w:r>
      <w:r w:rsidRPr="0050122D">
        <w:rPr>
          <w:rFonts w:ascii="Times New Roman" w:eastAsia="Times New Roman" w:hAnsi="Times New Roman" w:cs="Times New Roman"/>
          <w:kern w:val="0"/>
          <w:sz w:val="24"/>
          <w:szCs w:val="24"/>
          <w14:ligatures w14:val="none"/>
        </w:rPr>
        <w:t xml:space="preserve">In this view, </w:t>
      </w:r>
      <w:r w:rsidRPr="0050122D">
        <w:rPr>
          <w:rFonts w:ascii="Times New Roman" w:eastAsia="Times New Roman" w:hAnsi="Times New Roman" w:cs="Times New Roman"/>
          <w:kern w:val="0"/>
          <w:sz w:val="24"/>
          <w:szCs w:val="24"/>
          <w:shd w:val="clear" w:color="auto" w:fill="FFFFFF"/>
          <w14:ligatures w14:val="none"/>
        </w:rPr>
        <w:t xml:space="preserve">Hone and Marisennayya (2019) </w:t>
      </w:r>
      <w:r w:rsidRPr="0050122D">
        <w:rPr>
          <w:rFonts w:ascii="Times New Roman" w:eastAsia="Times New Roman" w:hAnsi="Times New Roman" w:cs="Times New Roman"/>
          <w:kern w:val="0"/>
          <w:sz w:val="24"/>
          <w:szCs w:val="24"/>
          <w14:ligatures w14:val="none"/>
        </w:rPr>
        <w:t>argue that a rise in disposable income boosts the consumption of households.</w:t>
      </w:r>
      <w:r w:rsidRPr="0050122D">
        <w:rPr>
          <w:rFonts w:ascii="Times New Roman" w:eastAsia="Aptos" w:hAnsi="Times New Roman" w:cs="Times New Roman"/>
          <w:sz w:val="24"/>
          <w:szCs w:val="24"/>
        </w:rPr>
        <w:t xml:space="preserve"> </w:t>
      </w:r>
      <w:r w:rsidRPr="0050122D">
        <w:rPr>
          <w:rFonts w:ascii="Times New Roman" w:eastAsia="Times New Roman" w:hAnsi="Times New Roman" w:cs="Times New Roman"/>
          <w:kern w:val="0"/>
          <w:sz w:val="24"/>
          <w:szCs w:val="24"/>
          <w14:ligatures w14:val="none"/>
        </w:rPr>
        <w:t>Muzindutsi and Mjeso (2018) also found a positive effect of disposable income on household consumption.</w:t>
      </w:r>
    </w:p>
    <w:p w14:paraId="0B075783"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In Table 7, unemployment at the lower and middle quantiles is statistically significant with a positive coefficient. This implies that an increase in unemployment results in a rise in household consumption, which is in line with the 0.75 upper quantile. These findings concur with the findings of</w:t>
      </w:r>
      <w:r w:rsidRPr="0050122D">
        <w:rPr>
          <w:rFonts w:ascii="Times New Roman" w:eastAsia="Times New Roman" w:hAnsi="Times New Roman" w:cs="Times New Roman"/>
          <w:kern w:val="0"/>
          <w:sz w:val="24"/>
          <w:szCs w:val="24"/>
          <w:shd w:val="clear" w:color="auto" w:fill="FFFFFF"/>
          <w14:ligatures w14:val="none"/>
        </w:rPr>
        <w:t xml:space="preserve"> </w:t>
      </w:r>
      <w:r w:rsidRPr="0050122D">
        <w:rPr>
          <w:rFonts w:ascii="Times New Roman" w:eastAsia="Times New Roman" w:hAnsi="Times New Roman" w:cs="Times New Roman"/>
          <w:kern w:val="0"/>
          <w:sz w:val="24"/>
          <w:szCs w:val="24"/>
          <w14:ligatures w14:val="none"/>
        </w:rPr>
        <w:t xml:space="preserve">Popovici and French (2013), who found that unemployment encourages consumption. This is following </w:t>
      </w:r>
      <w:r w:rsidRPr="0050122D">
        <w:rPr>
          <w:rFonts w:ascii="Times New Roman" w:eastAsia="Times New Roman" w:hAnsi="Times New Roman" w:cs="Times New Roman"/>
          <w:kern w:val="0"/>
          <w:sz w:val="24"/>
          <w:szCs w:val="24"/>
          <w:shd w:val="clear" w:color="auto" w:fill="FFFFFF"/>
          <w14:ligatures w14:val="none"/>
        </w:rPr>
        <w:t>Janlert and Hammarström (1992),</w:t>
      </w:r>
      <w:r w:rsidRPr="0050122D">
        <w:rPr>
          <w:rFonts w:ascii="Times New Roman" w:eastAsia="Times New Roman" w:hAnsi="Times New Roman" w:cs="Times New Roman"/>
          <w:kern w:val="0"/>
          <w:sz w:val="24"/>
          <w:szCs w:val="24"/>
          <w14:ligatures w14:val="none"/>
        </w:rPr>
        <w:t xml:space="preserve"> who found that unemployment has a positive significant relationship with household consumption. These results are supported by Campos and Reggio (2015), who argued that unemployment does not cause a decline in household consumption. </w:t>
      </w:r>
    </w:p>
    <w:p w14:paraId="33B4F3E3"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On the other hand, at the 0.90 upper quantile, unemployment is statistically insignificant. In the same manner, </w:t>
      </w:r>
      <w:r w:rsidRPr="0050122D">
        <w:rPr>
          <w:rFonts w:ascii="Times New Roman" w:eastAsia="Times New Roman" w:hAnsi="Times New Roman" w:cs="Times New Roman"/>
          <w:kern w:val="0"/>
          <w:sz w:val="24"/>
          <w:szCs w:val="24"/>
          <w:lang w:eastAsia="en-ZA"/>
          <w14:ligatures w14:val="none"/>
        </w:rPr>
        <w:t>Alegre and Pou (2016)</w:t>
      </w:r>
      <w:r w:rsidRPr="0050122D">
        <w:rPr>
          <w:rFonts w:ascii="Times New Roman" w:eastAsia="Times New Roman" w:hAnsi="Times New Roman" w:cs="Times New Roman"/>
          <w:kern w:val="0"/>
          <w:sz w:val="24"/>
          <w:szCs w:val="24"/>
          <w:shd w:val="clear" w:color="auto" w:fill="FFFFFF"/>
          <w14:ligatures w14:val="none"/>
        </w:rPr>
        <w:t xml:space="preserve"> established that the relationship between unemployment and consumption is insignificant.</w:t>
      </w:r>
    </w:p>
    <w:p w14:paraId="3FFD2741" w14:textId="77777777" w:rsidR="0050122D" w:rsidRPr="0050122D" w:rsidRDefault="0050122D" w:rsidP="0050122D">
      <w:pPr>
        <w:keepNext/>
        <w:numPr>
          <w:ilvl w:val="3"/>
          <w:numId w:val="0"/>
        </w:numPr>
        <w:spacing w:before="120" w:after="0" w:line="360" w:lineRule="auto"/>
        <w:ind w:left="964" w:hanging="964"/>
        <w:jc w:val="both"/>
        <w:outlineLvl w:val="3"/>
        <w:rPr>
          <w:rFonts w:ascii="Times New Roman" w:eastAsia="Calibri" w:hAnsi="Times New Roman" w:cs="Times New Roman"/>
          <w:b/>
          <w:bCs/>
          <w:kern w:val="0"/>
          <w:sz w:val="24"/>
          <w:szCs w:val="24"/>
          <w:lang w:val="en-US" w:eastAsia="en-ZA"/>
          <w14:ligatures w14:val="none"/>
        </w:rPr>
      </w:pPr>
      <w:bookmarkStart w:id="101" w:name="_Toc183627203"/>
      <w:bookmarkStart w:id="102" w:name="_Hlk176796042"/>
      <w:r w:rsidRPr="0050122D">
        <w:rPr>
          <w:rFonts w:ascii="Times New Roman" w:eastAsia="Calibri" w:hAnsi="Times New Roman" w:cs="Times New Roman"/>
          <w:b/>
          <w:bCs/>
          <w:kern w:val="0"/>
          <w:sz w:val="24"/>
          <w:szCs w:val="24"/>
          <w:lang w:val="en-US" w:eastAsia="en-ZA"/>
          <w14:ligatures w14:val="none"/>
        </w:rPr>
        <w:t>4.7 Quantile process estimates results</w:t>
      </w:r>
      <w:bookmarkEnd w:id="101"/>
      <w:r w:rsidRPr="0050122D">
        <w:rPr>
          <w:rFonts w:ascii="Times New Roman" w:eastAsia="Calibri" w:hAnsi="Times New Roman" w:cs="Times New Roman"/>
          <w:b/>
          <w:bCs/>
          <w:kern w:val="0"/>
          <w:sz w:val="24"/>
          <w:szCs w:val="24"/>
          <w:lang w:val="en-US" w:eastAsia="en-ZA"/>
          <w14:ligatures w14:val="none"/>
        </w:rPr>
        <w:t xml:space="preserve"> </w:t>
      </w:r>
      <w:bookmarkEnd w:id="100"/>
      <w:bookmarkEnd w:id="102"/>
    </w:p>
    <w:p w14:paraId="6DD7AFA5"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Calibri" w:hAnsi="Times New Roman" w:cs="Times New Roman"/>
          <w:kern w:val="0"/>
          <w:sz w:val="24"/>
          <w:szCs w:val="24"/>
          <w14:ligatures w14:val="none"/>
        </w:rPr>
        <w:t>This set of quantile process estimates demonstrated in Figure 2 gives insight into how each independent variable influences changes across the distribution of household consumption.</w:t>
      </w:r>
    </w:p>
    <w:tbl>
      <w:tblPr>
        <w:tblStyle w:val="TableGrid13"/>
        <w:tblW w:w="0" w:type="auto"/>
        <w:tblLayout w:type="fixed"/>
        <w:tblLook w:val="04A0" w:firstRow="1" w:lastRow="0" w:firstColumn="1" w:lastColumn="0" w:noHBand="0" w:noVBand="1"/>
      </w:tblPr>
      <w:tblGrid>
        <w:gridCol w:w="8926"/>
      </w:tblGrid>
      <w:tr w:rsidR="0050122D" w:rsidRPr="0050122D" w14:paraId="184E0B79" w14:textId="77777777" w:rsidTr="0043536F">
        <w:tc>
          <w:tcPr>
            <w:tcW w:w="8926" w:type="dxa"/>
          </w:tcPr>
          <w:bookmarkStart w:id="103" w:name="_Hlk176798115"/>
          <w:p w14:paraId="067A2E47" w14:textId="5FD0CAC1" w:rsidR="0050122D" w:rsidRPr="0050122D" w:rsidRDefault="0050122D" w:rsidP="0050122D">
            <w:pPr>
              <w:ind w:left="-120" w:right="-161"/>
              <w:rPr>
                <w:rFonts w:ascii="Times New Roman" w:hAnsi="Times New Roman"/>
                <w:sz w:val="24"/>
                <w:szCs w:val="24"/>
              </w:rPr>
            </w:pPr>
            <w:r w:rsidRPr="0050122D">
              <w:rPr>
                <w:rFonts w:ascii="Times New Roman" w:eastAsia="Times New Roman" w:hAnsi="Times New Roman" w:cstheme="minorBidi"/>
                <w:sz w:val="24"/>
                <w:szCs w:val="24"/>
                <w:highlight w:val="lightGray"/>
              </w:rPr>
              <w:object w:dxaOrig="10246" w:dyaOrig="7351" w14:anchorId="17928DA5">
                <v:shape id="_x0000_i1026" type="#_x0000_t75" style="width:446.4pt;height:440.4pt" o:ole="">
                  <v:imagedata r:id="rId11" o:title=""/>
                </v:shape>
                <o:OLEObject Type="Embed" ProgID="EViews.Workfile.2" ShapeID="_x0000_i1026" DrawAspect="Content" ObjectID="_1824032963" r:id="rId12"/>
              </w:object>
            </w:r>
          </w:p>
        </w:tc>
      </w:tr>
    </w:tbl>
    <w:p w14:paraId="051AE4D9" w14:textId="77777777" w:rsidR="0050122D" w:rsidRPr="0050122D" w:rsidRDefault="0050122D" w:rsidP="0050122D">
      <w:pPr>
        <w:spacing w:after="0" w:line="360" w:lineRule="auto"/>
        <w:rPr>
          <w:rFonts w:ascii="Times New Roman" w:eastAsia="Times New Roman" w:hAnsi="Times New Roman" w:cs="Times New Roman"/>
          <w:b/>
          <w:bCs/>
          <w:kern w:val="0"/>
          <w:sz w:val="24"/>
          <w:szCs w:val="24"/>
          <w14:ligatures w14:val="none"/>
        </w:rPr>
      </w:pPr>
      <w:bookmarkStart w:id="104" w:name="_Toc180329900"/>
      <w:bookmarkStart w:id="105" w:name="_Toc183627018"/>
      <w:bookmarkStart w:id="106" w:name="_Hlk176811700"/>
      <w:r w:rsidRPr="0050122D">
        <w:rPr>
          <w:rFonts w:ascii="Times New Roman" w:eastAsia="Times New Roman" w:hAnsi="Times New Roman" w:cs="Times New Roman"/>
          <w:b/>
          <w:bCs/>
          <w:kern w:val="0"/>
          <w:sz w:val="24"/>
          <w:szCs w:val="24"/>
          <w14:ligatures w14:val="none"/>
        </w:rPr>
        <w:t>Figure 2</w:t>
      </w:r>
      <w:r w:rsidRPr="0050122D">
        <w:rPr>
          <w:rFonts w:ascii="Times New Roman" w:eastAsia="Calibri" w:hAnsi="Times New Roman" w:cs="Times New Roman"/>
          <w:b/>
          <w:bCs/>
          <w:kern w:val="0"/>
          <w:sz w:val="24"/>
          <w:szCs w:val="24"/>
          <w14:ligatures w14:val="none"/>
        </w:rPr>
        <w:t>: Quantile process estimates results</w:t>
      </w:r>
      <w:bookmarkEnd w:id="104"/>
      <w:bookmarkEnd w:id="105"/>
    </w:p>
    <w:p w14:paraId="73C9FBAC" w14:textId="77777777" w:rsidR="0050122D" w:rsidRPr="0050122D" w:rsidRDefault="0050122D" w:rsidP="0050122D">
      <w:pPr>
        <w:spacing w:after="240" w:line="312" w:lineRule="auto"/>
        <w:rPr>
          <w:rFonts w:ascii="Times New Roman" w:eastAsia="Times New Roman" w:hAnsi="Times New Roman" w:cs="Times New Roman"/>
          <w:i/>
          <w:noProof/>
          <w:kern w:val="0"/>
          <w:sz w:val="24"/>
          <w:szCs w:val="24"/>
          <w14:ligatures w14:val="none"/>
        </w:rPr>
      </w:pPr>
      <w:r w:rsidRPr="0050122D">
        <w:rPr>
          <w:rFonts w:ascii="Times New Roman" w:eastAsia="Times New Roman" w:hAnsi="Times New Roman" w:cs="Times New Roman"/>
          <w:i/>
          <w:noProof/>
          <w:kern w:val="0"/>
          <w:sz w:val="24"/>
          <w:szCs w:val="24"/>
          <w14:ligatures w14:val="none"/>
        </w:rPr>
        <w:t xml:space="preserve">Source: Author’s computation using Eviews 14 </w:t>
      </w:r>
    </w:p>
    <w:bookmarkEnd w:id="103"/>
    <w:bookmarkEnd w:id="106"/>
    <w:p w14:paraId="610CB106" w14:textId="77777777" w:rsidR="0050122D" w:rsidRDefault="0050122D" w:rsidP="0050122D">
      <w:pPr>
        <w:spacing w:after="240" w:line="360" w:lineRule="auto"/>
        <w:jc w:val="both"/>
        <w:rPr>
          <w:rFonts w:ascii="Times New Roman" w:eastAsia="Times New Roman" w:hAnsi="Times New Roman" w:cs="Times New Roman"/>
          <w:i/>
          <w:noProof/>
          <w:kern w:val="0"/>
          <w:sz w:val="24"/>
          <w:szCs w:val="24"/>
          <w14:ligatures w14:val="none"/>
        </w:rPr>
      </w:pPr>
      <w:r w:rsidRPr="0050122D">
        <w:rPr>
          <w:rFonts w:ascii="Times New Roman" w:eastAsia="Calibri" w:hAnsi="Times New Roman" w:cs="Times New Roman"/>
          <w:kern w:val="0"/>
          <w:sz w:val="24"/>
          <w:szCs w:val="24"/>
          <w14:ligatures w14:val="none"/>
        </w:rPr>
        <w:t>Figure 2 indicates that some variables, such as pay as you earn tax, have an increasing effect at higher quantiles, while unemployment has a downward-sloping blue line, which suggests that its impact is stronger at lower quantiles and weakens toward higher quantiles. The confidence bands are relatively narrow, indicating precision in the estimates. The household disposable income has a downward-sloping blue line, implying that the effect diminishes as we move toward higher quantiles.</w:t>
      </w:r>
      <w:bookmarkStart w:id="107" w:name="_Hlk182469140"/>
      <w:bookmarkStart w:id="108" w:name="_Toc183627204"/>
    </w:p>
    <w:p w14:paraId="036FB62E" w14:textId="333706CD" w:rsidR="0050122D" w:rsidRPr="0050122D" w:rsidRDefault="0050122D" w:rsidP="0050122D">
      <w:pPr>
        <w:spacing w:after="240" w:line="360" w:lineRule="auto"/>
        <w:jc w:val="both"/>
        <w:rPr>
          <w:rFonts w:ascii="Times New Roman" w:eastAsia="Times New Roman" w:hAnsi="Times New Roman" w:cs="Times New Roman"/>
          <w:i/>
          <w:noProof/>
          <w:kern w:val="0"/>
          <w:sz w:val="24"/>
          <w:szCs w:val="24"/>
          <w14:ligatures w14:val="none"/>
        </w:rPr>
      </w:pPr>
      <w:r w:rsidRPr="0050122D">
        <w:rPr>
          <w:rFonts w:ascii="Times New Roman" w:eastAsia="Calibri" w:hAnsi="Times New Roman" w:cs="Times New Roman"/>
          <w:b/>
          <w:bCs/>
          <w:kern w:val="0"/>
          <w:sz w:val="24"/>
          <w:szCs w:val="24"/>
          <w:lang w:val="en-US" w:eastAsia="en-ZA"/>
          <w14:ligatures w14:val="none"/>
        </w:rPr>
        <w:t>4.8 Equality of parameters across quantiles and stability of the model</w:t>
      </w:r>
      <w:bookmarkStart w:id="109" w:name="_Hlk176874337"/>
      <w:bookmarkEnd w:id="107"/>
      <w:bookmarkEnd w:id="108"/>
    </w:p>
    <w:p w14:paraId="6FACA420"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This section discusses the results of the tests for equality of parameters across quantiles, Table 8 represents the slope of the equality test findings.</w:t>
      </w:r>
    </w:p>
    <w:p w14:paraId="4D216047"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bookmarkStart w:id="110" w:name="_Toc180325933"/>
      <w:bookmarkStart w:id="111" w:name="_Toc183626793"/>
      <w:bookmarkEnd w:id="109"/>
      <w:r w:rsidRPr="0050122D">
        <w:rPr>
          <w:rFonts w:ascii="Times New Roman" w:eastAsia="Times New Roman" w:hAnsi="Times New Roman" w:cs="Times New Roman"/>
          <w:b/>
          <w:bCs/>
          <w:kern w:val="0"/>
          <w:sz w:val="24"/>
          <w:szCs w:val="24"/>
          <w14:ligatures w14:val="none"/>
        </w:rPr>
        <w:t>Table 8: Quantile slope equality Test</w:t>
      </w:r>
      <w:bookmarkEnd w:id="110"/>
      <w:bookmarkEnd w:id="111"/>
      <w:r w:rsidRPr="0050122D">
        <w:rPr>
          <w:rFonts w:ascii="Times New Roman" w:eastAsia="Times New Roman" w:hAnsi="Times New Roman" w:cs="Times New Roman"/>
          <w:b/>
          <w:bCs/>
          <w:kern w:val="0"/>
          <w:sz w:val="24"/>
          <w:szCs w:val="24"/>
          <w14:ligatures w14:val="none"/>
        </w:rPr>
        <w:t xml:space="preserve"> </w:t>
      </w:r>
    </w:p>
    <w:tbl>
      <w:tblPr>
        <w:tblStyle w:val="TableGrid100"/>
        <w:tblW w:w="0" w:type="auto"/>
        <w:tblInd w:w="-5" w:type="dxa"/>
        <w:tblLook w:val="04A0" w:firstRow="1" w:lastRow="0" w:firstColumn="1" w:lastColumn="0" w:noHBand="0" w:noVBand="1"/>
      </w:tblPr>
      <w:tblGrid>
        <w:gridCol w:w="2996"/>
        <w:gridCol w:w="2355"/>
        <w:gridCol w:w="3670"/>
      </w:tblGrid>
      <w:tr w:rsidR="0050122D" w:rsidRPr="0050122D" w14:paraId="75B33331" w14:textId="77777777" w:rsidTr="0043536F">
        <w:tc>
          <w:tcPr>
            <w:tcW w:w="3119" w:type="dxa"/>
            <w:tcBorders>
              <w:bottom w:val="single" w:sz="4" w:space="0" w:color="auto"/>
            </w:tcBorders>
          </w:tcPr>
          <w:p w14:paraId="147758FD" w14:textId="77777777" w:rsidR="0050122D" w:rsidRPr="0050122D" w:rsidRDefault="0050122D" w:rsidP="0050122D">
            <w:pPr>
              <w:spacing w:before="60" w:after="60"/>
              <w:jc w:val="both"/>
              <w:rPr>
                <w:rFonts w:ascii="Times New Roman" w:hAnsi="Times New Roman"/>
                <w:color w:val="000000"/>
                <w:sz w:val="24"/>
                <w:szCs w:val="24"/>
              </w:rPr>
            </w:pPr>
            <w:bookmarkStart w:id="112" w:name="_Hlk172486649"/>
            <w:r w:rsidRPr="0050122D">
              <w:rPr>
                <w:rFonts w:ascii="Times New Roman" w:hAnsi="Times New Roman"/>
                <w:color w:val="000000"/>
                <w:sz w:val="24"/>
                <w:szCs w:val="24"/>
              </w:rPr>
              <w:t xml:space="preserve">Test </w:t>
            </w:r>
          </w:p>
        </w:tc>
        <w:tc>
          <w:tcPr>
            <w:tcW w:w="2430" w:type="dxa"/>
            <w:tcBorders>
              <w:bottom w:val="single" w:sz="4" w:space="0" w:color="auto"/>
            </w:tcBorders>
          </w:tcPr>
          <w:p w14:paraId="419DA98B"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Chi-Sq. Statistic</w:t>
            </w:r>
          </w:p>
        </w:tc>
        <w:tc>
          <w:tcPr>
            <w:tcW w:w="3801" w:type="dxa"/>
            <w:tcBorders>
              <w:bottom w:val="single" w:sz="4" w:space="0" w:color="auto"/>
            </w:tcBorders>
          </w:tcPr>
          <w:p w14:paraId="587E05D9"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Probability</w:t>
            </w:r>
          </w:p>
        </w:tc>
      </w:tr>
      <w:tr w:rsidR="0050122D" w:rsidRPr="0050122D" w14:paraId="611D4239" w14:textId="77777777" w:rsidTr="0043536F">
        <w:tc>
          <w:tcPr>
            <w:tcW w:w="3119" w:type="dxa"/>
            <w:tcBorders>
              <w:bottom w:val="single" w:sz="4" w:space="0" w:color="auto"/>
            </w:tcBorders>
          </w:tcPr>
          <w:p w14:paraId="76BFC513"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Wald test</w:t>
            </w:r>
          </w:p>
        </w:tc>
        <w:tc>
          <w:tcPr>
            <w:tcW w:w="2430" w:type="dxa"/>
            <w:tcBorders>
              <w:bottom w:val="single" w:sz="4" w:space="0" w:color="auto"/>
            </w:tcBorders>
          </w:tcPr>
          <w:p w14:paraId="35F867DC"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 xml:space="preserve"> 8.2416</w:t>
            </w:r>
          </w:p>
        </w:tc>
        <w:tc>
          <w:tcPr>
            <w:tcW w:w="3801" w:type="dxa"/>
            <w:tcBorders>
              <w:bottom w:val="single" w:sz="4" w:space="0" w:color="auto"/>
            </w:tcBorders>
          </w:tcPr>
          <w:p w14:paraId="15B52370"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0.9934</w:t>
            </w:r>
          </w:p>
        </w:tc>
      </w:tr>
    </w:tbl>
    <w:bookmarkEnd w:id="112"/>
    <w:p w14:paraId="3A8269F0" w14:textId="77777777" w:rsidR="0050122D" w:rsidRPr="0050122D" w:rsidRDefault="0050122D" w:rsidP="0050122D">
      <w:pPr>
        <w:spacing w:before="60" w:after="240" w:line="360" w:lineRule="auto"/>
        <w:rPr>
          <w:rFonts w:ascii="Times New Roman" w:eastAsia="Times New Roman" w:hAnsi="Times New Roman" w:cs="Times New Roman"/>
          <w:i/>
          <w:kern w:val="0"/>
          <w:sz w:val="24"/>
          <w:szCs w:val="24"/>
          <w14:ligatures w14:val="none"/>
        </w:rPr>
      </w:pPr>
      <w:r w:rsidRPr="0050122D">
        <w:rPr>
          <w:rFonts w:ascii="Times New Roman" w:eastAsia="Times New Roman" w:hAnsi="Times New Roman" w:cs="Times New Roman"/>
          <w:i/>
          <w:kern w:val="0"/>
          <w:sz w:val="24"/>
          <w:szCs w:val="24"/>
          <w14:ligatures w14:val="none"/>
        </w:rPr>
        <w:t>Source: Authors own computation using E-views 14</w:t>
      </w:r>
      <w:bookmarkStart w:id="113" w:name="_Hlk176874488"/>
    </w:p>
    <w:p w14:paraId="3826DEE0"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lang w:eastAsia="en-ZA"/>
          <w14:ligatures w14:val="none"/>
        </w:rPr>
      </w:pPr>
      <w:r w:rsidRPr="0050122D">
        <w:rPr>
          <w:rFonts w:ascii="Times New Roman" w:eastAsia="Times New Roman" w:hAnsi="Times New Roman" w:cs="Times New Roman"/>
          <w:kern w:val="0"/>
          <w:sz w:val="24"/>
          <w:szCs w:val="24"/>
          <w:lang w:eastAsia="en-ZA"/>
          <w14:ligatures w14:val="none"/>
        </w:rPr>
        <w:t>It is clear from Table 8, that the slope equality is the same across the quantile levels, since the p-value is 99.34%, greater than the 5% level of significance. The following Table 9 represents the Wald test results of the model.</w:t>
      </w:r>
    </w:p>
    <w:p w14:paraId="4641042D" w14:textId="77777777" w:rsidR="0050122D" w:rsidRPr="0050122D" w:rsidRDefault="0050122D" w:rsidP="0050122D">
      <w:pPr>
        <w:keepNext/>
        <w:spacing w:before="240" w:after="0" w:line="360" w:lineRule="auto"/>
        <w:rPr>
          <w:rFonts w:ascii="Times New Roman" w:eastAsia="Times New Roman" w:hAnsi="Times New Roman" w:cs="Times New Roman"/>
          <w:b/>
          <w:bCs/>
          <w:kern w:val="0"/>
          <w:sz w:val="24"/>
          <w:szCs w:val="24"/>
          <w14:ligatures w14:val="none"/>
        </w:rPr>
      </w:pPr>
      <w:bookmarkStart w:id="114" w:name="_Toc180325934"/>
      <w:bookmarkStart w:id="115" w:name="_Toc183626794"/>
      <w:bookmarkEnd w:id="113"/>
      <w:r w:rsidRPr="0050122D">
        <w:rPr>
          <w:rFonts w:ascii="Times New Roman" w:eastAsia="Times New Roman" w:hAnsi="Times New Roman" w:cs="Times New Roman"/>
          <w:b/>
          <w:bCs/>
          <w:kern w:val="0"/>
          <w:sz w:val="24"/>
          <w:szCs w:val="24"/>
          <w14:ligatures w14:val="none"/>
        </w:rPr>
        <w:t>Table 9: Wald test results</w:t>
      </w:r>
      <w:bookmarkEnd w:id="114"/>
      <w:bookmarkEnd w:id="115"/>
      <w:r w:rsidRPr="0050122D">
        <w:rPr>
          <w:rFonts w:ascii="Times New Roman" w:eastAsia="Times New Roman" w:hAnsi="Times New Roman" w:cs="Times New Roman"/>
          <w:b/>
          <w:bCs/>
          <w:kern w:val="0"/>
          <w:sz w:val="24"/>
          <w:szCs w:val="24"/>
          <w14:ligatures w14:val="none"/>
        </w:rPr>
        <w:t xml:space="preserve"> </w:t>
      </w:r>
    </w:p>
    <w:tbl>
      <w:tblPr>
        <w:tblStyle w:val="TableGrid100"/>
        <w:tblW w:w="9356" w:type="dxa"/>
        <w:tblInd w:w="-5" w:type="dxa"/>
        <w:tblLook w:val="04A0" w:firstRow="1" w:lastRow="0" w:firstColumn="1" w:lastColumn="0" w:noHBand="0" w:noVBand="1"/>
      </w:tblPr>
      <w:tblGrid>
        <w:gridCol w:w="3686"/>
        <w:gridCol w:w="2392"/>
        <w:gridCol w:w="3278"/>
      </w:tblGrid>
      <w:tr w:rsidR="0050122D" w:rsidRPr="0050122D" w14:paraId="126E1B8C" w14:textId="77777777" w:rsidTr="0043536F">
        <w:tc>
          <w:tcPr>
            <w:tcW w:w="3686" w:type="dxa"/>
          </w:tcPr>
          <w:p w14:paraId="474A1328"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Null hypothesis</w:t>
            </w:r>
          </w:p>
        </w:tc>
        <w:tc>
          <w:tcPr>
            <w:tcW w:w="2392" w:type="dxa"/>
          </w:tcPr>
          <w:p w14:paraId="7FCDB314"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Test statistics</w:t>
            </w:r>
          </w:p>
        </w:tc>
        <w:tc>
          <w:tcPr>
            <w:tcW w:w="3278" w:type="dxa"/>
          </w:tcPr>
          <w:p w14:paraId="115C0665"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Probability</w:t>
            </w:r>
          </w:p>
        </w:tc>
      </w:tr>
      <w:tr w:rsidR="0050122D" w:rsidRPr="0050122D" w14:paraId="4B9590A3" w14:textId="77777777" w:rsidTr="0043536F">
        <w:tc>
          <w:tcPr>
            <w:tcW w:w="3686" w:type="dxa"/>
          </w:tcPr>
          <w:p w14:paraId="25238EF2"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C(1)=0, C(3)=0, C(5)=0, C(10)=0</w:t>
            </w:r>
          </w:p>
        </w:tc>
        <w:tc>
          <w:tcPr>
            <w:tcW w:w="2392" w:type="dxa"/>
          </w:tcPr>
          <w:p w14:paraId="602F9F85"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F statistics</w:t>
            </w:r>
          </w:p>
          <w:p w14:paraId="1E07A7B5"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Chi square</w:t>
            </w:r>
          </w:p>
        </w:tc>
        <w:tc>
          <w:tcPr>
            <w:tcW w:w="3278" w:type="dxa"/>
          </w:tcPr>
          <w:p w14:paraId="26B97DEF"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0.0000</w:t>
            </w:r>
          </w:p>
          <w:p w14:paraId="3520EFA0" w14:textId="77777777" w:rsidR="0050122D" w:rsidRPr="0050122D" w:rsidRDefault="0050122D" w:rsidP="0050122D">
            <w:pPr>
              <w:spacing w:before="60" w:after="60"/>
              <w:jc w:val="both"/>
              <w:rPr>
                <w:rFonts w:ascii="Times New Roman" w:hAnsi="Times New Roman"/>
                <w:color w:val="000000"/>
                <w:sz w:val="24"/>
                <w:szCs w:val="24"/>
              </w:rPr>
            </w:pPr>
            <w:r w:rsidRPr="0050122D">
              <w:rPr>
                <w:rFonts w:ascii="Times New Roman" w:hAnsi="Times New Roman"/>
                <w:color w:val="000000"/>
                <w:sz w:val="24"/>
                <w:szCs w:val="24"/>
              </w:rPr>
              <w:t>0.0000</w:t>
            </w:r>
          </w:p>
        </w:tc>
      </w:tr>
    </w:tbl>
    <w:p w14:paraId="43DA89F1" w14:textId="77777777" w:rsidR="0050122D" w:rsidRPr="0050122D" w:rsidRDefault="0050122D" w:rsidP="0050122D">
      <w:pPr>
        <w:spacing w:before="60" w:after="240" w:line="360" w:lineRule="auto"/>
        <w:rPr>
          <w:rFonts w:ascii="Times New Roman" w:eastAsia="Calibri" w:hAnsi="Times New Roman" w:cs="Times New Roman"/>
          <w:i/>
          <w:kern w:val="0"/>
          <w:sz w:val="24"/>
          <w:szCs w:val="24"/>
          <w14:ligatures w14:val="none"/>
        </w:rPr>
      </w:pPr>
      <w:r w:rsidRPr="0050122D">
        <w:rPr>
          <w:rFonts w:ascii="Times New Roman" w:eastAsia="Calibri" w:hAnsi="Times New Roman" w:cs="Times New Roman"/>
          <w:i/>
          <w:kern w:val="0"/>
          <w:sz w:val="24"/>
          <w:szCs w:val="24"/>
          <w14:ligatures w14:val="none"/>
        </w:rPr>
        <w:t>Source: Authors own computation using E-views 14</w:t>
      </w:r>
      <w:bookmarkStart w:id="116" w:name="_Hlk176874586"/>
    </w:p>
    <w:p w14:paraId="31EABC64" w14:textId="77777777" w:rsidR="0050122D" w:rsidRPr="0050122D" w:rsidRDefault="0050122D" w:rsidP="0050122D">
      <w:pPr>
        <w:spacing w:after="240" w:line="360" w:lineRule="auto"/>
        <w:jc w:val="both"/>
        <w:rPr>
          <w:rFonts w:ascii="Times New Roman" w:eastAsia="Aptos" w:hAnsi="Times New Roman" w:cs="Times New Roman"/>
          <w:sz w:val="24"/>
          <w:szCs w:val="24"/>
        </w:rPr>
      </w:pPr>
      <w:r w:rsidRPr="0050122D">
        <w:rPr>
          <w:rFonts w:ascii="Times New Roman" w:eastAsia="Aptos" w:hAnsi="Times New Roman" w:cs="Times New Roman"/>
          <w:sz w:val="24"/>
          <w:szCs w:val="24"/>
        </w:rPr>
        <w:t>Table 9 indicates that there is strong evidence against the null hypothesis that the coefficients C(1), C(3), C(5), and C(10) are jointly zero. This implies that these coefficients are significant in explaining the dependent variable in the model. In other terms household consumption, pay as you earn tax, household disposable income, and unemployment are significant contributors to the model, since the p-values are both statistically significant at the 1% level. Figure 3 below shows the CUSUM and CUSUMQ test results.</w:t>
      </w:r>
    </w:p>
    <w:tbl>
      <w:tblPr>
        <w:tblStyle w:val="TableGrid13"/>
        <w:tblW w:w="0" w:type="auto"/>
        <w:tblLook w:val="04A0" w:firstRow="1" w:lastRow="0" w:firstColumn="1" w:lastColumn="0" w:noHBand="0" w:noVBand="1"/>
      </w:tblPr>
      <w:tblGrid>
        <w:gridCol w:w="9016"/>
      </w:tblGrid>
      <w:tr w:rsidR="0050122D" w:rsidRPr="0050122D" w14:paraId="56D44B63" w14:textId="77777777" w:rsidTr="0043536F">
        <w:tc>
          <w:tcPr>
            <w:tcW w:w="9016" w:type="dxa"/>
          </w:tcPr>
          <w:bookmarkEnd w:id="116"/>
          <w:p w14:paraId="154A1A01" w14:textId="77777777" w:rsidR="0050122D" w:rsidRPr="0050122D" w:rsidRDefault="0050122D" w:rsidP="0050122D">
            <w:pPr>
              <w:ind w:left="-120" w:right="-161"/>
              <w:rPr>
                <w:rFonts w:ascii="Times New Roman" w:hAnsi="Times New Roman"/>
                <w:sz w:val="24"/>
                <w:szCs w:val="24"/>
              </w:rPr>
            </w:pPr>
            <w:r w:rsidRPr="0050122D">
              <w:rPr>
                <w:rFonts w:ascii="Times New Roman" w:eastAsia="Times New Roman" w:hAnsi="Times New Roman" w:cstheme="minorBidi"/>
                <w:sz w:val="24"/>
                <w:szCs w:val="24"/>
                <w:highlight w:val="lightGray"/>
              </w:rPr>
              <w:object w:dxaOrig="8821" w:dyaOrig="5326" w14:anchorId="6C50BE64">
                <v:shape id="_x0000_i1027" type="#_x0000_t75" style="width:223.8pt;height:187.2pt" o:ole="">
                  <v:imagedata r:id="rId13" o:title=""/>
                </v:shape>
                <o:OLEObject Type="Embed" ProgID="EViews.Workfile.2" ShapeID="_x0000_i1027" DrawAspect="Content" ObjectID="_1824032964" r:id="rId14"/>
              </w:object>
            </w:r>
            <w:r w:rsidRPr="0050122D">
              <w:rPr>
                <w:rFonts w:ascii="Times New Roman" w:hAnsi="Times New Roman"/>
                <w:sz w:val="24"/>
                <w:szCs w:val="24"/>
                <w:highlight w:val="lightGray"/>
              </w:rPr>
              <w:t xml:space="preserve"> </w:t>
            </w:r>
            <w:r w:rsidRPr="0050122D">
              <w:rPr>
                <w:rFonts w:ascii="Times New Roman" w:eastAsia="Times New Roman" w:hAnsi="Times New Roman" w:cstheme="minorBidi"/>
                <w:sz w:val="24"/>
                <w:szCs w:val="24"/>
                <w:highlight w:val="lightGray"/>
              </w:rPr>
              <w:object w:dxaOrig="8686" w:dyaOrig="5326" w14:anchorId="70A4FF28">
                <v:shape id="_x0000_i1028" type="#_x0000_t75" style="width:225pt;height:186pt" o:ole="">
                  <v:imagedata r:id="rId15" o:title=""/>
                </v:shape>
                <o:OLEObject Type="Embed" ProgID="EViews.Workfile.2" ShapeID="_x0000_i1028" DrawAspect="Content" ObjectID="_1824032965" r:id="rId16"/>
              </w:object>
            </w:r>
          </w:p>
        </w:tc>
      </w:tr>
    </w:tbl>
    <w:p w14:paraId="295D098E" w14:textId="77777777" w:rsidR="0050122D" w:rsidRPr="0050122D" w:rsidRDefault="0050122D" w:rsidP="0050122D">
      <w:pPr>
        <w:spacing w:after="0" w:line="360" w:lineRule="auto"/>
        <w:rPr>
          <w:rFonts w:ascii="Times New Roman" w:eastAsia="Times New Roman" w:hAnsi="Times New Roman" w:cs="Times New Roman"/>
          <w:b/>
          <w:bCs/>
          <w:kern w:val="0"/>
          <w:sz w:val="24"/>
          <w:szCs w:val="24"/>
          <w14:ligatures w14:val="none"/>
        </w:rPr>
      </w:pPr>
      <w:bookmarkStart w:id="117" w:name="_Toc180329901"/>
      <w:bookmarkStart w:id="118" w:name="_Toc183627019"/>
      <w:bookmarkStart w:id="119" w:name="_Hlk176811746"/>
      <w:r w:rsidRPr="0050122D">
        <w:rPr>
          <w:rFonts w:ascii="Times New Roman" w:eastAsia="Times New Roman" w:hAnsi="Times New Roman" w:cs="Times New Roman"/>
          <w:b/>
          <w:bCs/>
          <w:kern w:val="0"/>
          <w:sz w:val="24"/>
          <w:szCs w:val="24"/>
          <w14:ligatures w14:val="none"/>
        </w:rPr>
        <w:t>Figure 3</w:t>
      </w:r>
      <w:r w:rsidRPr="0050122D">
        <w:rPr>
          <w:rFonts w:ascii="Times New Roman" w:eastAsia="Calibri" w:hAnsi="Times New Roman" w:cs="Times New Roman"/>
          <w:b/>
          <w:bCs/>
          <w:kern w:val="0"/>
          <w:sz w:val="24"/>
          <w:szCs w:val="24"/>
          <w14:ligatures w14:val="none"/>
        </w:rPr>
        <w:t>: Q</w:t>
      </w:r>
      <w:r w:rsidRPr="0050122D">
        <w:rPr>
          <w:rFonts w:ascii="Times New Roman" w:eastAsia="Times New Roman" w:hAnsi="Times New Roman" w:cs="Times New Roman"/>
          <w:b/>
          <w:bCs/>
          <w:kern w:val="0"/>
          <w:sz w:val="24"/>
          <w:szCs w:val="24"/>
          <w:lang w:eastAsia="en-ZA"/>
          <w14:ligatures w14:val="none"/>
        </w:rPr>
        <w:t>ARDL dynamic stability test results</w:t>
      </w:r>
      <w:bookmarkEnd w:id="117"/>
      <w:bookmarkEnd w:id="118"/>
    </w:p>
    <w:p w14:paraId="71445856" w14:textId="77777777" w:rsidR="0050122D" w:rsidRPr="0050122D" w:rsidRDefault="0050122D" w:rsidP="0050122D">
      <w:pPr>
        <w:spacing w:after="240" w:line="312" w:lineRule="auto"/>
        <w:rPr>
          <w:rFonts w:ascii="Times New Roman" w:eastAsia="Times New Roman" w:hAnsi="Times New Roman" w:cs="Times New Roman"/>
          <w:i/>
          <w:noProof/>
          <w:kern w:val="0"/>
          <w:sz w:val="24"/>
          <w:szCs w:val="24"/>
          <w14:ligatures w14:val="none"/>
        </w:rPr>
      </w:pPr>
      <w:r w:rsidRPr="0050122D">
        <w:rPr>
          <w:rFonts w:ascii="Times New Roman" w:eastAsia="Times New Roman" w:hAnsi="Times New Roman" w:cs="Times New Roman"/>
          <w:i/>
          <w:noProof/>
          <w:kern w:val="0"/>
          <w:sz w:val="24"/>
          <w:szCs w:val="24"/>
          <w14:ligatures w14:val="none"/>
        </w:rPr>
        <w:t xml:space="preserve">Source: Author’s computation using Eviews 14 </w:t>
      </w:r>
      <w:bookmarkStart w:id="120" w:name="_Hlk176874951"/>
      <w:bookmarkEnd w:id="119"/>
    </w:p>
    <w:p w14:paraId="65FDCD95" w14:textId="77777777" w:rsid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The findings presented in Figure 3 indicate that the QARDL model exhibits stability, as both the CUSUM and CUSUMQ curves remain within the 5% level of significance. Therefore, the null hypothesis of model instability is rejected.</w:t>
      </w:r>
    </w:p>
    <w:p w14:paraId="28660A4E" w14:textId="77777777" w:rsidR="0050122D" w:rsidRPr="0050122D" w:rsidRDefault="0050122D" w:rsidP="0050122D">
      <w:pPr>
        <w:spacing w:after="240" w:line="360" w:lineRule="auto"/>
        <w:jc w:val="both"/>
        <w:rPr>
          <w:rFonts w:ascii="Times New Roman" w:eastAsia="Times New Roman" w:hAnsi="Times New Roman" w:cs="Times New Roman"/>
          <w:b/>
          <w:bCs/>
          <w:kern w:val="0"/>
          <w:sz w:val="24"/>
          <w:szCs w:val="24"/>
          <w14:ligatures w14:val="none"/>
        </w:rPr>
      </w:pPr>
      <w:r w:rsidRPr="0050122D">
        <w:rPr>
          <w:rFonts w:ascii="Times New Roman" w:eastAsia="Times New Roman" w:hAnsi="Times New Roman" w:cs="Times New Roman"/>
          <w:b/>
          <w:bCs/>
          <w:kern w:val="0"/>
          <w:sz w:val="24"/>
          <w:szCs w:val="24"/>
          <w14:ligatures w14:val="none"/>
        </w:rPr>
        <w:t xml:space="preserve">5. Conclusions, Summary, and Policy Implications </w:t>
      </w:r>
    </w:p>
    <w:p w14:paraId="26D49778" w14:textId="4EE456A1" w:rsidR="0057455A" w:rsidRPr="0057455A" w:rsidRDefault="0057455A" w:rsidP="0057455A">
      <w:pPr>
        <w:spacing w:after="240" w:line="360" w:lineRule="auto"/>
        <w:jc w:val="both"/>
        <w:rPr>
          <w:rFonts w:ascii="Times New Roman" w:eastAsia="Times New Roman" w:hAnsi="Times New Roman" w:cs="Times New Roman"/>
          <w:kern w:val="0"/>
          <w:sz w:val="24"/>
          <w:szCs w:val="24"/>
          <w14:ligatures w14:val="none"/>
        </w:rPr>
      </w:pPr>
      <w:r w:rsidRPr="0057455A">
        <w:rPr>
          <w:rFonts w:ascii="Times New Roman" w:eastAsia="Times New Roman" w:hAnsi="Times New Roman" w:cs="Times New Roman"/>
          <w:kern w:val="0"/>
          <w:sz w:val="24"/>
          <w:szCs w:val="24"/>
          <w14:ligatures w14:val="none"/>
        </w:rPr>
        <w:t xml:space="preserve">This study empirically examined the effect of Pay As You Earn (PAYE) tax on household consumption in South Africa using the Quantile Autoregressive Distributed Lag (QARDL) model and annual data from 1994 to 2023. The key findings reveal that, in the long run, PAYE tax has no statistically significant impact on household consumption across all quantiles. In contrast, household disposable income consistently shows a statistically significant and positive relationship with consumption, underscoring its central role in influencing household spending </w:t>
      </w:r>
      <w:r w:rsidR="0073235B" w:rsidRPr="0057455A">
        <w:rPr>
          <w:rFonts w:ascii="Times New Roman" w:eastAsia="Times New Roman" w:hAnsi="Times New Roman" w:cs="Times New Roman"/>
          <w:kern w:val="0"/>
          <w:sz w:val="24"/>
          <w:szCs w:val="24"/>
          <w14:ligatures w14:val="none"/>
        </w:rPr>
        <w:t>behaviour</w:t>
      </w:r>
      <w:r w:rsidRPr="0057455A">
        <w:rPr>
          <w:rFonts w:ascii="Times New Roman" w:eastAsia="Times New Roman" w:hAnsi="Times New Roman" w:cs="Times New Roman"/>
          <w:kern w:val="0"/>
          <w:sz w:val="24"/>
          <w:szCs w:val="24"/>
          <w14:ligatures w14:val="none"/>
        </w:rPr>
        <w:t>. Additionally, unemployment is found to be statistically significant in the middle and upper-middle quantiles, with a negative coefficient, indicating its dampening effect on consumption in those segments. In the short run, PAYE tax negatively affects household consumption across most quantiles, except the highest (0.90), where it is statistically insignificant.</w:t>
      </w:r>
      <w:r>
        <w:rPr>
          <w:rFonts w:ascii="Times New Roman" w:eastAsia="Times New Roman" w:hAnsi="Times New Roman" w:cs="Times New Roman"/>
          <w:kern w:val="0"/>
          <w:sz w:val="24"/>
          <w:szCs w:val="24"/>
          <w14:ligatures w14:val="none"/>
        </w:rPr>
        <w:t xml:space="preserve"> </w:t>
      </w:r>
      <w:r w:rsidRPr="0057455A">
        <w:rPr>
          <w:rFonts w:ascii="Times New Roman" w:eastAsia="Times New Roman" w:hAnsi="Times New Roman" w:cs="Times New Roman"/>
          <w:kern w:val="0"/>
          <w:sz w:val="24"/>
          <w:szCs w:val="24"/>
          <w14:ligatures w14:val="none"/>
        </w:rPr>
        <w:t>The study contributes to the literature by employing the QARDL approach, which allows for a nuanced understanding of the asymmetric and heterogeneous effects of fiscal variables across different levels of household consumption. This methodological contribution enhances the understanding of the dynamics between taxation and consumption behaviour in an emerging economy context.</w:t>
      </w:r>
    </w:p>
    <w:p w14:paraId="0DE18A48" w14:textId="760D902E" w:rsidR="0057455A" w:rsidRPr="0057455A" w:rsidRDefault="0057455A" w:rsidP="0057455A">
      <w:pPr>
        <w:spacing w:after="240" w:line="360" w:lineRule="auto"/>
        <w:jc w:val="both"/>
        <w:rPr>
          <w:rFonts w:ascii="Times New Roman" w:eastAsia="Times New Roman" w:hAnsi="Times New Roman" w:cs="Times New Roman"/>
          <w:kern w:val="0"/>
          <w:sz w:val="24"/>
          <w:szCs w:val="24"/>
          <w14:ligatures w14:val="none"/>
        </w:rPr>
      </w:pPr>
      <w:r w:rsidRPr="0057455A">
        <w:rPr>
          <w:rFonts w:ascii="Times New Roman" w:eastAsia="Times New Roman" w:hAnsi="Times New Roman" w:cs="Times New Roman"/>
          <w:kern w:val="0"/>
          <w:sz w:val="24"/>
          <w:szCs w:val="24"/>
          <w14:ligatures w14:val="none"/>
        </w:rPr>
        <w:t>The findings support theories emphasizing the importance of disposable income in determining household consumption. They also highlight the limitations of linear models in capturing the complex, quantile-specific effects of fiscal policy instruments.</w:t>
      </w:r>
      <w:r>
        <w:rPr>
          <w:rFonts w:ascii="Times New Roman" w:eastAsia="Times New Roman" w:hAnsi="Times New Roman" w:cs="Times New Roman"/>
          <w:kern w:val="0"/>
          <w:sz w:val="24"/>
          <w:szCs w:val="24"/>
          <w14:ligatures w14:val="none"/>
        </w:rPr>
        <w:t xml:space="preserve"> </w:t>
      </w:r>
      <w:r w:rsidRPr="0057455A">
        <w:rPr>
          <w:rFonts w:ascii="Times New Roman" w:eastAsia="Times New Roman" w:hAnsi="Times New Roman" w:cs="Times New Roman"/>
          <w:kern w:val="0"/>
          <w:sz w:val="24"/>
          <w:szCs w:val="24"/>
          <w14:ligatures w14:val="none"/>
        </w:rPr>
        <w:t>For practitioners involved in economic planning and tax administration, the results emphasi</w:t>
      </w:r>
      <w:r>
        <w:rPr>
          <w:rFonts w:ascii="Times New Roman" w:eastAsia="Times New Roman" w:hAnsi="Times New Roman" w:cs="Times New Roman"/>
          <w:kern w:val="0"/>
          <w:sz w:val="24"/>
          <w:szCs w:val="24"/>
          <w14:ligatures w14:val="none"/>
        </w:rPr>
        <w:t>s</w:t>
      </w:r>
      <w:r w:rsidRPr="0057455A">
        <w:rPr>
          <w:rFonts w:ascii="Times New Roman" w:eastAsia="Times New Roman" w:hAnsi="Times New Roman" w:cs="Times New Roman"/>
          <w:kern w:val="0"/>
          <w:sz w:val="24"/>
          <w:szCs w:val="24"/>
          <w14:ligatures w14:val="none"/>
        </w:rPr>
        <w:t>e the need to consider the short-run behavioural responses of households to changes in direct taxation, particularly among low- and middle-</w:t>
      </w:r>
      <w:r>
        <w:rPr>
          <w:rFonts w:ascii="Times New Roman" w:eastAsia="Times New Roman" w:hAnsi="Times New Roman" w:cs="Times New Roman"/>
          <w:kern w:val="0"/>
          <w:sz w:val="24"/>
          <w:szCs w:val="24"/>
          <w14:ligatures w14:val="none"/>
        </w:rPr>
        <w:t>household consumers</w:t>
      </w:r>
      <w:r w:rsidRPr="0057455A">
        <w:rPr>
          <w:rFonts w:ascii="Times New Roman" w:eastAsia="Times New Roman" w:hAnsi="Times New Roman" w:cs="Times New Roman"/>
          <w:kern w:val="0"/>
          <w:sz w:val="24"/>
          <w:szCs w:val="24"/>
          <w14:ligatures w14:val="none"/>
        </w:rPr>
        <w:t>.</w:t>
      </w:r>
    </w:p>
    <w:p w14:paraId="40CA7B9F" w14:textId="676B5E4B" w:rsidR="0057455A" w:rsidRPr="0057455A" w:rsidRDefault="0057455A" w:rsidP="0057455A">
      <w:pPr>
        <w:spacing w:after="240" w:line="360" w:lineRule="auto"/>
        <w:jc w:val="both"/>
        <w:rPr>
          <w:rFonts w:ascii="Times New Roman" w:eastAsia="Times New Roman" w:hAnsi="Times New Roman" w:cs="Times New Roman"/>
          <w:kern w:val="0"/>
          <w:sz w:val="24"/>
          <w:szCs w:val="24"/>
          <w14:ligatures w14:val="none"/>
        </w:rPr>
      </w:pPr>
      <w:r w:rsidRPr="0057455A">
        <w:rPr>
          <w:rFonts w:ascii="Times New Roman" w:eastAsia="Times New Roman" w:hAnsi="Times New Roman" w:cs="Times New Roman"/>
          <w:kern w:val="0"/>
          <w:sz w:val="24"/>
          <w:szCs w:val="24"/>
          <w14:ligatures w14:val="none"/>
        </w:rPr>
        <w:t>The evidence suggests that increases in PAYE tax can suppress household consumption in the short run, especially for lower and middle-</w:t>
      </w:r>
      <w:r>
        <w:rPr>
          <w:rFonts w:ascii="Times New Roman" w:eastAsia="Times New Roman" w:hAnsi="Times New Roman" w:cs="Times New Roman"/>
          <w:kern w:val="0"/>
          <w:sz w:val="24"/>
          <w:szCs w:val="24"/>
          <w14:ligatures w14:val="none"/>
        </w:rPr>
        <w:t>household consumers</w:t>
      </w:r>
      <w:r w:rsidRPr="0057455A">
        <w:rPr>
          <w:rFonts w:ascii="Times New Roman" w:eastAsia="Times New Roman" w:hAnsi="Times New Roman" w:cs="Times New Roman"/>
          <w:kern w:val="0"/>
          <w:sz w:val="24"/>
          <w:szCs w:val="24"/>
          <w14:ligatures w14:val="none"/>
        </w:rPr>
        <w:t>. Therefore, tax policy should be carefully calibrated to avoid unintended consumption slowdowns. Enhancing household disposable income and reducing unemployment can yield more sustainable improvements in consumption patterns.</w:t>
      </w:r>
      <w:r>
        <w:rPr>
          <w:rFonts w:ascii="Times New Roman" w:eastAsia="Times New Roman" w:hAnsi="Times New Roman" w:cs="Times New Roman"/>
          <w:kern w:val="0"/>
          <w:sz w:val="24"/>
          <w:szCs w:val="24"/>
          <w14:ligatures w14:val="none"/>
        </w:rPr>
        <w:t xml:space="preserve"> </w:t>
      </w:r>
      <w:r w:rsidRPr="0057455A">
        <w:rPr>
          <w:rFonts w:ascii="Times New Roman" w:eastAsia="Times New Roman" w:hAnsi="Times New Roman" w:cs="Times New Roman"/>
          <w:kern w:val="0"/>
          <w:sz w:val="24"/>
          <w:szCs w:val="24"/>
          <w14:ligatures w14:val="none"/>
        </w:rPr>
        <w:t>Policymakers are encouraged to introduce targeted PAYE tax relief measures, particularly for lower- and middle-household</w:t>
      </w:r>
      <w:r>
        <w:rPr>
          <w:rFonts w:ascii="Times New Roman" w:eastAsia="Times New Roman" w:hAnsi="Times New Roman" w:cs="Times New Roman"/>
          <w:kern w:val="0"/>
          <w:sz w:val="24"/>
          <w:szCs w:val="24"/>
          <w14:ligatures w14:val="none"/>
        </w:rPr>
        <w:t xml:space="preserve"> consumers</w:t>
      </w:r>
      <w:r w:rsidRPr="0057455A">
        <w:rPr>
          <w:rFonts w:ascii="Times New Roman" w:eastAsia="Times New Roman" w:hAnsi="Times New Roman" w:cs="Times New Roman"/>
          <w:kern w:val="0"/>
          <w:sz w:val="24"/>
          <w:szCs w:val="24"/>
          <w14:ligatures w14:val="none"/>
        </w:rPr>
        <w:t>, to support consumption and stimulate economic activity. Additionally, broader reforms aimed at increasing household disposable income</w:t>
      </w:r>
      <w:r>
        <w:rPr>
          <w:rFonts w:ascii="Times New Roman" w:eastAsia="Times New Roman" w:hAnsi="Times New Roman" w:cs="Times New Roman"/>
          <w:kern w:val="0"/>
          <w:sz w:val="24"/>
          <w:szCs w:val="24"/>
          <w14:ligatures w14:val="none"/>
        </w:rPr>
        <w:t xml:space="preserve"> </w:t>
      </w:r>
      <w:r w:rsidRPr="0057455A">
        <w:rPr>
          <w:rFonts w:ascii="Times New Roman" w:eastAsia="Times New Roman" w:hAnsi="Times New Roman" w:cs="Times New Roman"/>
          <w:kern w:val="0"/>
          <w:sz w:val="24"/>
          <w:szCs w:val="24"/>
          <w14:ligatures w14:val="none"/>
        </w:rPr>
        <w:t>such as raising the tax-free threshold or providing income-based rebates</w:t>
      </w:r>
      <w:r>
        <w:rPr>
          <w:rFonts w:ascii="Times New Roman" w:eastAsia="Times New Roman" w:hAnsi="Times New Roman" w:cs="Times New Roman"/>
          <w:kern w:val="0"/>
          <w:sz w:val="24"/>
          <w:szCs w:val="24"/>
          <w14:ligatures w14:val="none"/>
        </w:rPr>
        <w:t xml:space="preserve"> </w:t>
      </w:r>
      <w:r w:rsidRPr="0057455A">
        <w:rPr>
          <w:rFonts w:ascii="Times New Roman" w:eastAsia="Times New Roman" w:hAnsi="Times New Roman" w:cs="Times New Roman"/>
          <w:kern w:val="0"/>
          <w:sz w:val="24"/>
          <w:szCs w:val="24"/>
          <w14:ligatures w14:val="none"/>
        </w:rPr>
        <w:t>should be considered. Active labour market policies are also vital to address the negative effects of unemployment on consumption.</w:t>
      </w:r>
    </w:p>
    <w:p w14:paraId="4CB1CA04" w14:textId="30A4DA4E" w:rsidR="0050122D" w:rsidRPr="0050122D" w:rsidRDefault="0050122D" w:rsidP="0050122D">
      <w:pPr>
        <w:spacing w:after="240" w:line="360" w:lineRule="auto"/>
        <w:jc w:val="both"/>
        <w:rPr>
          <w:rFonts w:ascii="Times New Roman" w:eastAsia="Times New Roman" w:hAnsi="Times New Roman" w:cs="Times New Roman"/>
          <w:b/>
          <w:bCs/>
          <w:kern w:val="0"/>
          <w:sz w:val="24"/>
          <w:szCs w:val="24"/>
          <w14:ligatures w14:val="none"/>
        </w:rPr>
      </w:pPr>
      <w:r w:rsidRPr="0050122D">
        <w:rPr>
          <w:rFonts w:ascii="Times New Roman" w:eastAsia="Times New Roman" w:hAnsi="Times New Roman" w:cs="Times New Roman"/>
          <w:b/>
          <w:bCs/>
          <w:kern w:val="0"/>
          <w:sz w:val="24"/>
          <w:szCs w:val="24"/>
          <w14:ligatures w14:val="none"/>
        </w:rPr>
        <w:t>7.</w:t>
      </w:r>
      <w:r>
        <w:rPr>
          <w:rFonts w:ascii="Times New Roman" w:eastAsia="Times New Roman" w:hAnsi="Times New Roman" w:cs="Times New Roman"/>
          <w:b/>
          <w:bCs/>
          <w:kern w:val="0"/>
          <w:sz w:val="24"/>
          <w:szCs w:val="24"/>
          <w14:ligatures w14:val="none"/>
        </w:rPr>
        <w:t xml:space="preserve"> </w:t>
      </w:r>
      <w:r w:rsidRPr="0050122D">
        <w:rPr>
          <w:rFonts w:ascii="Times New Roman" w:eastAsia="Times New Roman" w:hAnsi="Times New Roman" w:cs="Times New Roman"/>
          <w:b/>
          <w:bCs/>
          <w:kern w:val="0"/>
          <w:sz w:val="24"/>
          <w:szCs w:val="24"/>
          <w14:ligatures w14:val="none"/>
        </w:rPr>
        <w:t xml:space="preserve">Declaration of Funding </w:t>
      </w:r>
    </w:p>
    <w:p w14:paraId="5B9FCC00" w14:textId="77777777" w:rsidR="0050122D" w:rsidRPr="0050122D" w:rsidRDefault="0050122D" w:rsidP="0050122D">
      <w:pPr>
        <w:spacing w:after="240" w:line="360" w:lineRule="auto"/>
        <w:jc w:val="both"/>
        <w:rPr>
          <w:rFonts w:ascii="Times New Roman" w:eastAsia="Times New Roman" w:hAnsi="Times New Roman" w:cs="Times New Roman"/>
          <w:kern w:val="0"/>
          <w:sz w:val="24"/>
          <w:szCs w:val="24"/>
          <w14:ligatures w14:val="none"/>
        </w:rPr>
      </w:pPr>
      <w:r w:rsidRPr="0050122D">
        <w:rPr>
          <w:rFonts w:ascii="Times New Roman" w:eastAsia="Times New Roman" w:hAnsi="Times New Roman" w:cs="Times New Roman"/>
          <w:kern w:val="0"/>
          <w:sz w:val="24"/>
          <w:szCs w:val="24"/>
          <w14:ligatures w14:val="none"/>
        </w:rPr>
        <w:t xml:space="preserve">The researchers received funding form North West University. </w:t>
      </w:r>
    </w:p>
    <w:p w14:paraId="0369170B" w14:textId="2C8BA421" w:rsidR="0050122D" w:rsidRPr="0050122D" w:rsidRDefault="0050122D" w:rsidP="0050122D">
      <w:pPr>
        <w:spacing w:after="240" w:line="360" w:lineRule="auto"/>
        <w:jc w:val="both"/>
        <w:rPr>
          <w:rFonts w:ascii="Times New Roman" w:eastAsia="Times New Roman" w:hAnsi="Times New Roman" w:cs="Times New Roman"/>
          <w:b/>
          <w:bCs/>
          <w:kern w:val="0"/>
          <w:sz w:val="24"/>
          <w:szCs w:val="24"/>
          <w14:ligatures w14:val="none"/>
        </w:rPr>
      </w:pPr>
      <w:r w:rsidRPr="0050122D">
        <w:rPr>
          <w:rFonts w:ascii="Times New Roman" w:eastAsia="Times New Roman" w:hAnsi="Times New Roman" w:cs="Times New Roman"/>
          <w:b/>
          <w:bCs/>
          <w:kern w:val="0"/>
          <w:sz w:val="24"/>
          <w:szCs w:val="24"/>
          <w14:ligatures w14:val="none"/>
        </w:rPr>
        <w:t xml:space="preserve">References </w:t>
      </w:r>
    </w:p>
    <w:bookmarkEnd w:id="120"/>
    <w:p w14:paraId="5DCE7DAE"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Agheli, L.A., Rezagholizadeh, M. and Aghaei, M., 2009. Study of the Effect of Fiscal Policies Shocks on Real Consumption of Private Sector in Iran. The Journal of Economic Studies and Policies, (15), pp.135-160.</w:t>
      </w:r>
    </w:p>
    <w:p w14:paraId="55B87418"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Alegre, J. and Pou, L., 2016. Consumption, unemployment and the Great Recession: does it matter who is unemployed and for how long?. International Journal of Manpower, 37(4), pp.724-743.</w:t>
      </w:r>
    </w:p>
    <w:p w14:paraId="204AAE89"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A-Mandah, O.C., Ekhaguere, G.O.S. and Ekaka-a, N., 2016. Measuring the impact of interest rate on an asset price model for energy market: A numerical simulation approach. Publications of SIMFIM-WORLDHERO 3E-ICMCS Research Consortium, Ezepue and Ekhaguere (Eds.), United Kingdom | Nigeria, ISBN: 978-37246-5-7, p.314.</w:t>
      </w:r>
    </w:p>
    <w:p w14:paraId="6C16943C"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Anwar, A., Sharif, A., Fatima, S., Ahmad, P., Sinha, A., Khan, S.A.R. and Jermsittiparsert, K., 2021. The asymmetric effect of public private partnership investment on transport CO2 emission in China: Evidence from quantile ARDL approach. Journal of Cleaner Production, 288, p.125282.</w:t>
      </w:r>
    </w:p>
    <w:p w14:paraId="3941B32A"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Aron, J. and Muellbauer, J., 2006. Estimates of household sector wealth for South Africa, 1970–2003. Review of Income and Wealth, 52(2), pp.285–308.</w:t>
      </w:r>
    </w:p>
    <w:p w14:paraId="2883255B"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Bahmani-Oskooee, M. and Ranjbar, O., 2016. Quantile unit root test and PPP: evidence from 23 OECD countries. Applied Economics, 48(31), pp.2899-2911.</w:t>
      </w:r>
    </w:p>
    <w:p w14:paraId="4A3CD865"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Bentolila, S. and Ichino, A. (2008), “Unemployment and consumption near and far away from the Mediterranean”, Journal of Population Economics, 21(2), pp. 255-280.</w:t>
      </w:r>
    </w:p>
    <w:p w14:paraId="1B466758" w14:textId="7D95FB54"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Bera, A., Galvao, A., &amp; Wang, L., 2013. On Testing the Equality of Mean and Quantile Effects. Journal of Econometric Methods, 3,  4 -62. </w:t>
      </w:r>
    </w:p>
    <w:p w14:paraId="76F76DD6"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Bhorat, H., Kanbur, R. and Mayet, N., 2021. Poverty, inequality, and the nature of economic growth in South Africa. Development Policy Research Unit Working Paper No. 202101. University of Cape Town.</w:t>
      </w:r>
    </w:p>
    <w:p w14:paraId="0D3DA6E7"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Bonga-Bonga, L., Erero, J.L. and Gupta, R., 2016. Impact of Activity Tax in the Property-Owning and Subletting of Fixed Property Sectors on the South African Economy: A CGE Analysis. Journal of Real Estate Literature, 24(2), pp.345-357.</w:t>
      </w:r>
    </w:p>
    <w:p w14:paraId="11389EA6" w14:textId="7DD7D214"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Brown, R. L., Durbin, J., &amp; Evans, J. M. (1975). Techniques for Testing the Constancy of Regression Relationships over Time. Journal of the Royal Statistical Society: Series B (Methodological), 37(2), 149–163. </w:t>
      </w:r>
    </w:p>
    <w:p w14:paraId="442AF8A8"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Campos, R.G. and Reggio, I., 2015. Consumption in the shadow of unemployment. European Economic Review, 78, pp.39-54.</w:t>
      </w:r>
    </w:p>
    <w:p w14:paraId="3F922145"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Chen, T. and Ni, Z.L., 2023. Tax structure, tax salience and consumption gap between urban and rural residents: An empirical investigation based on 279 prefecture-level cities. Contemporary Finance &amp; Economics, (4), p.29.</w:t>
      </w:r>
    </w:p>
    <w:p w14:paraId="64131E8B" w14:textId="5BA3402D"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Chernozhukov, V., 2005. Extremal Quantile Regression. Annals of Statistics, 33, pp. 806-839. </w:t>
      </w:r>
    </w:p>
    <w:p w14:paraId="4C87A977" w14:textId="20E1E261"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Cho, J., Kim, T., &amp; Shin, Y., 2015. Quantile cointegration in the autoregressive distributed-lag modeling framework. Journal of Econometrics, 188, pp. 281-300. </w:t>
      </w:r>
    </w:p>
    <w:p w14:paraId="0B7D1473"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Choi, S., Kim, K. and Lee, M., 2005. Robust test based on nonlinear regression quantile estimators. Communications of The Korean Mathematical Society, 20(1), pp.145-159.</w:t>
      </w:r>
    </w:p>
    <w:p w14:paraId="58862790"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Christelis, D., Georgarakos, D. and Jappelli, T., 2015. Wealth shocks, unemployment shocks and consumption in the wake of the Great Recession. Journal of Monetary Economics, 72, pp.21-41.</w:t>
      </w:r>
    </w:p>
    <w:p w14:paraId="2DA8AA76"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Cloyne, J.S. and Surico, P., 2017. Household debt and the dynamic effects of income tax changes. The Review of Economic Studies, 84(1), pp.45-81.</w:t>
      </w:r>
    </w:p>
    <w:p w14:paraId="3AA040F7"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Čok, M., Sambt, J., Košak, M., Verbič, M. and Majcen, B., 2012. Distribution of personal income tax changes in Slovenia. Post-Communist Economies, 24(4), pp.503-515.</w:t>
      </w:r>
    </w:p>
    <w:p w14:paraId="30E9243D"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Dao, P.B., 2021. A CUSUM-based approach for condition monitoring and fault diagnosis of wind turbines. Energies, 14(11), p.3236.</w:t>
      </w:r>
    </w:p>
    <w:p w14:paraId="7B201033"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Dickens, W.T., Triest, R.K. and Sederberg, R.B., 2017. The changing consequences of unemployment for household finances. RSF: The Russell Sage Foundation Journal of the Social Sciences, 3(3), pp.202-221.</w:t>
      </w:r>
    </w:p>
    <w:p w14:paraId="181A5EC7"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Ebner, B. and Henze, N., 2020. Tests for multivariate normality—A critical review with emphasis on weighted L 2-statistics. Test, 29(4), pp.845-892.</w:t>
      </w:r>
    </w:p>
    <w:p w14:paraId="46B2C1A6"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Fagereng, A., Onshuus, H. and Torstensen, K.N., 2024. The consumption expenditure response to unemployment: Evidence from Norwegian households. Journal of Monetary Economics, p.103578.</w:t>
      </w:r>
    </w:p>
    <w:p w14:paraId="52BBD079"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Farrell, P.J., Salibian-Barrera, M. and Naczk, K., 2007. On tests for multivariate normality and associated simulation studies. Journal of statistical computation and simulation, 77(12), pp.1065-1080.</w:t>
      </w:r>
    </w:p>
    <w:p w14:paraId="0A39A3A0"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Friedman, M. (1957). A Theory of the Consumption Function. Princeton University Press.</w:t>
      </w:r>
    </w:p>
    <w:p w14:paraId="6046F9A7"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Galvao Jr, A.F., 2009. Unit root quantile autoregression testing using covariates. Journal of econometrics, 152(2), pp.165-178.</w:t>
      </w:r>
    </w:p>
    <w:p w14:paraId="1DE47547"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Gohar, R., Bagadeem, S., Chang, B.H. and Zong, M., 2022. Do the income and price changes affect consumption in the emerging 7 countries? Empirical evidence using quantile ARDL model. Annals of Financial Economics, 17(04), p.2250024.</w:t>
      </w:r>
    </w:p>
    <w:p w14:paraId="6073F710"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Gupta, M. and Kishore, A., 2022. Unemployment and household spending in rural and urban India: Evidence from panel data. The Journal of Development Studies, 58(3), pp.545-560.</w:t>
      </w:r>
    </w:p>
    <w:p w14:paraId="5BDA0B95"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Habanabakize, T., Meyer, D.F. and Muzindutsi, P.F., 2017. Econometric analysis of the effects of aggregate expenditure on job growth in the private sector: The South African case. Acta Universitatis Danubius. Œconomica, 13(4).</w:t>
      </w:r>
    </w:p>
    <w:p w14:paraId="56FB4D1C" w14:textId="668756A0"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 xml:space="preserve">Hindls, R., Marek, L., &amp; Hronová, S., 2022. Changes in the structure of household disposable income in selected countries as a reflection of crises after 2000. Statistics in Transition New Series, 23, 1-19. </w:t>
      </w:r>
    </w:p>
    <w:p w14:paraId="01CA204A"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Hone, Z. and Marisennayya, S., 2019. Determinants of Household Consumption Expenditure in Debremarkos Town, Amhara Region, Ethiopia. American Academic Scientific Research Journal for Engineering, Technology, and Sciences, 62(1), pp.124-144.</w:t>
      </w:r>
    </w:p>
    <w:p w14:paraId="424566B0"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International Monetary Fund (IMF), 2021. South Africa: 2021 Article IV Consultation—Press Release; Staff Report; and Statement by the Executive Director for South Africa. Washington, DC: IMF.</w:t>
      </w:r>
    </w:p>
    <w:p w14:paraId="7B81436E"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Janlert, U. and Hammarström, A., 1992. Alcohol consumption among unemployed youths: results from a prospective study. British journal of addiction, 87(5), pp.703-714.</w:t>
      </w:r>
    </w:p>
    <w:p w14:paraId="2904CD78"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Johnson, D.S., Parker, J.A. and Souleles, N.S., 2006. Household expenditure and the income tax rebates of 2001. American Economic Review, 96(5), pp.1589-1610.</w:t>
      </w:r>
    </w:p>
    <w:p w14:paraId="384B4DD6"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Kavese, K. and Phiri, A., 2020. Optimal tax rates in South Africa: new empirical insights to the existing debate. International Journal of Sustainable Economy, 12(1), pp.44-60.</w:t>
      </w:r>
    </w:p>
    <w:p w14:paraId="3BF5CB08"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Keynes, J. M. (1936). The General Theory of Employment, Interest and Money. Macmillan.</w:t>
      </w:r>
    </w:p>
    <w:p w14:paraId="5F7AC5E6"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Khobai, H. and Dladla, K., 2018. The impact of taxation on economic growth in South Africa (No. 1818).</w:t>
      </w:r>
    </w:p>
    <w:p w14:paraId="0406FA26" w14:textId="711322E5"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Kim, M., 2007. Quantile regression with varying coefficients. Annals of Statistics, 35, pp. 92-108. </w:t>
      </w:r>
    </w:p>
    <w:p w14:paraId="1AB7455F"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Koenker, R. and Xiao, Z., 2004. Unit root quantile autoregression inference. Journal of the American statistical association, 99(467), pp.775-787.</w:t>
      </w:r>
    </w:p>
    <w:p w14:paraId="03ECFE85"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Kres, H., 1983. The Mardia-Test for multivariate normality, skewness, and kurtosis: Tables by KV Mardia. In Statistical tables for multivariate analysis: A handbook with references to applications (pp. 420-431). New York, NY: Springer New York.</w:t>
      </w:r>
    </w:p>
    <w:p w14:paraId="35ECDFDA" w14:textId="3D895B40"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Kuo, C. (2016). Sustainability of current accounts: evidence from the quantile unit-root test. Applied Economics Letters, 23, 747-755. </w:t>
      </w:r>
    </w:p>
    <w:p w14:paraId="5B547620"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Li, H., &amp; Zheng, C., 2017. Unit root quantile autoregression testing with smooth structural changes. Finance Research Letters. https://doi.org/10.1016/J.FRL.2017.10.008.</w:t>
      </w:r>
    </w:p>
    <w:p w14:paraId="524491D9"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Li, Y. and Li, Y., 2020, July. The Impact of Tax Structure on Residents’ Consumption in China. In 4th International Symposium on Business Corporation and Development in South-East and South Asia under B&amp;R Initiative (ISBCD 2019) (pp. 100-104). Atlantis Press.</w:t>
      </w:r>
    </w:p>
    <w:p w14:paraId="2B9C2513"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Ling, S. and McAleer, M., 2004. Regression quantiles for unstable autoregressive models. Journal of Multivariate Analysis, 89(2), pp.304-328.</w:t>
      </w:r>
    </w:p>
    <w:p w14:paraId="20470B51" w14:textId="597E7BBE"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Liu, Q., Liao, G., &amp; Zhang, R., 2021. Quantile inference for nonstationary processes with infinite variance innovations. Applied Mathematics-A Journal of Chinese Universities, 36, pp. 443-461. </w:t>
      </w:r>
    </w:p>
    <w:p w14:paraId="6089EBDB"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Maiti, M., 2021. Quantile regression, asset pricing and investment decision. IIMB Management Review, 33(1), pp.28-37.</w:t>
      </w:r>
    </w:p>
    <w:p w14:paraId="262A0AB3"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Modigliani, F. and Brumberg, R., 1954. Utility analysis and the consumption function: An interpretation of cross-section data. In: K. Kurihara, ed. Post-Keynesian Economics. New Brunswick, NJ: Rutgers University Press, pp.388–436.</w:t>
      </w:r>
    </w:p>
    <w:p w14:paraId="35E93C36" w14:textId="77777777" w:rsidR="00240524" w:rsidRPr="0050122D"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Modigliani, F., &amp; Brumberg, R. (1954). Utility analysis and the consumption function: An interpretation of cross-section data. In K. K. Kurihara (Ed.), Post-Keynesian Economics (pp. 388–436). Rutgers University Press.</w:t>
      </w:r>
    </w:p>
    <w:p w14:paraId="4FB7AC86"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Muzindutsi, P.F. and Mjeso, T., 2018. Analysis of South African household consumption expenditure and its determinants: Application of the ARDL Model. EuroEconomica, 37(3), pp.169-179.</w:t>
      </w:r>
    </w:p>
    <w:p w14:paraId="54626067"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Ndahiriwe, K. and Gupta, R., 2007. Temporal causality between taxes and public expenditures: The case of South Africa. Department of Economics Working Papers, University of Pretoria, Paper No. 200709.</w:t>
      </w:r>
    </w:p>
    <w:p w14:paraId="5D193372"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Organisation for Economic Co-operation and Development (OECD), 2021. Tax Policy Reforms 2021: Special Edition on Tax Policy during the COVID-19 Pandemic. Paris: OECD Publishing.</w:t>
      </w:r>
    </w:p>
    <w:p w14:paraId="2AD78910"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Pamba, D., 2022. The Link between Tax Revenue Components and Economic Growth: Evidence from South Africa. An ARDL Approach.</w:t>
      </w:r>
    </w:p>
    <w:p w14:paraId="29B1ECD3"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Popovici, I. and French, M.T., 2013. Does unemployment lead to greater alcohol consumption?. Industrial Relations: A Journal of Economy and Society, 52(2), pp.444-466.</w:t>
      </w:r>
    </w:p>
    <w:p w14:paraId="29D73578"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Ruan, F.L. and Yan, L., 2022. Interactions among electricity consumption, disposable income, wastewater discharge, and economic growth: Evidence from megacities in China from 1995 to 2018. Energy, 260, p.124910.</w:t>
      </w:r>
    </w:p>
    <w:p w14:paraId="402AF5C4" w14:textId="645E0B8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Schweikert, K., 2018. Are gold and silver cointegrated? New evidence from quantile cointegrating regressions. Journal of Banking and Finance, 88, pp. 44-51. </w:t>
      </w:r>
    </w:p>
    <w:p w14:paraId="4B232A62"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Şen, H. and Kaya, A., 2016. Taxes and private consumption expenditures: a component-based analysis for Turkey. Turkish Studies, 17(3), pp.474-501.</w:t>
      </w:r>
    </w:p>
    <w:p w14:paraId="1F1DC4B3"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Shahzad, S.J.H., Hurley, D. and Ferrer, R., 2021. US stock prices and macroeconomic fundamentals: Fresh evidence using the quantile ARDL approach. International Journal of Finance &amp; Economics, 26(3), pp.3569-3587.</w:t>
      </w:r>
    </w:p>
    <w:p w14:paraId="540FCB5C"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Shiqiang, S., Lv, P. and Yujia, L., 2023. The Influence of Tax Regulation on Private Consumption: An Analysis Based on Tax System in China. Available at SSRN 4632930.</w:t>
      </w:r>
    </w:p>
    <w:p w14:paraId="7CF97B6F"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Souleles, N.S., 1999. The response of household consumption to income tax refunds. American Economic Review, 89(4), pp.947-958.</w:t>
      </w:r>
    </w:p>
    <w:p w14:paraId="0A014A90" w14:textId="77777777" w:rsidR="00240524"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9F30BA">
        <w:rPr>
          <w:rFonts w:ascii="Times New Roman" w:eastAsia="Times New Roman" w:hAnsi="Times New Roman" w:cs="Times New Roman"/>
          <w:kern w:val="0"/>
          <w:sz w:val="24"/>
          <w:szCs w:val="24"/>
          <w14:ligatures w14:val="none"/>
        </w:rPr>
        <w:t>South African Reserve Bank (SARB). 2024. Annual report. [Online]. Available at: https://www.resbank.co.za/en/home [Accessed: 02 September 2024].</w:t>
      </w:r>
    </w:p>
    <w:p w14:paraId="6E9625E4" w14:textId="77777777" w:rsidR="00240524" w:rsidRPr="009F30BA"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9F30BA">
        <w:rPr>
          <w:rFonts w:ascii="Times New Roman" w:eastAsia="Times New Roman" w:hAnsi="Times New Roman" w:cs="Times New Roman"/>
          <w:kern w:val="0"/>
          <w:sz w:val="24"/>
          <w:szCs w:val="24"/>
          <w14:ligatures w14:val="none"/>
        </w:rPr>
        <w:t>South African Reserve Bank. (2022). Tax Chronology of South Africa: 1979–2022. South African Reserve Bank. Available at: https://www.resbank.co.za/content/dam/sarb/publications/quarterly-bulletins/supplements/2022/SARB%20Tax%20chronology%202022.pdf [Accessed: 13 November. 2023].</w:t>
      </w:r>
    </w:p>
    <w:p w14:paraId="113882C8" w14:textId="77777777" w:rsidR="00240524" w:rsidRPr="009F30BA"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9F30BA">
        <w:rPr>
          <w:rFonts w:ascii="Times New Roman" w:eastAsia="Times New Roman" w:hAnsi="Times New Roman" w:cs="Times New Roman"/>
          <w:kern w:val="0"/>
          <w:sz w:val="24"/>
          <w:szCs w:val="24"/>
          <w14:ligatures w14:val="none"/>
        </w:rPr>
        <w:t>South African Revenue Service (SARS), 2022, Rates of Tax for Individuals (2022/23), South African Revenue Authority, Pretoria.</w:t>
      </w:r>
    </w:p>
    <w:p w14:paraId="3FFDFC50" w14:textId="77777777" w:rsidR="00240524" w:rsidRPr="004B082C"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Statistics South Africa, 2023. Quarterly Labour Force Survey, Q4:2023. Pretoria: Stats SA.</w:t>
      </w:r>
    </w:p>
    <w:p w14:paraId="0DC551BF"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Sulistyowati, N., Sinaga, B.M. and Novindra, N., 2017. Impacts of government and household expenditure on human development index. JEJAK: Jurnal Ekonomi dan Kebijakan, 10(2), pp.412-428.</w:t>
      </w:r>
    </w:p>
    <w:p w14:paraId="65DDC734"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Tendengu, S., Kapingura, F.M. and Tsegaye, A., 2022. Fiscal policy and economic growth in South Africa. Economies, 10(9), p.204.</w:t>
      </w:r>
    </w:p>
    <w:p w14:paraId="08300649"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Van Rensburg, T.J., de Jager, S. and Makrelov, K.H., 2022. Fiscal multipliers in South Africa after the global financial crisis. South African Journal of Economic and Management Sciences, 25(1), p.4191.</w:t>
      </w:r>
    </w:p>
    <w:p w14:paraId="356DE3AE"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Wang, S., 2022. A Research on the Influence of Raising the Threshold of Individual Income Tax on Urban Residents’ Consumption Based on Eviews Software—A Case Study of Shanghai. In Innovative Computing: Proceedings of the 4th International Conference on Innovative Computing (IC 2021) (pp. 925-931). Springer Singapore.</w:t>
      </w:r>
    </w:p>
    <w:p w14:paraId="53C456C9" w14:textId="77777777" w:rsidR="00240524"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4B082C">
        <w:rPr>
          <w:rFonts w:ascii="Times New Roman" w:eastAsia="Times New Roman" w:hAnsi="Times New Roman" w:cs="Times New Roman"/>
          <w:kern w:val="0"/>
          <w:sz w:val="24"/>
          <w:szCs w:val="24"/>
          <w14:ligatures w14:val="none"/>
        </w:rPr>
        <w:t>World Bank, 2022. South Africa Economic Update: South Africa's Inequality of Opportunity. Washington, DC: The World Bank.</w:t>
      </w:r>
    </w:p>
    <w:p w14:paraId="2E424F49" w14:textId="06ED1C4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 xml:space="preserve">Xiao, Z., 2009. Quantile cointegrating regression. Journal of Econometrics, 150, pp. 248-260. </w:t>
      </w:r>
    </w:p>
    <w:p w14:paraId="40E87D6F" w14:textId="77777777" w:rsidR="00240524" w:rsidRPr="000A4142"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Yıldırım, M.O. and Yıldırım, A.E., 2017. The influence of consumption and investment on unemployment in Turkey: A SVAR approach. Ekonomika, 96(1), pp.74-92.</w:t>
      </w:r>
    </w:p>
    <w:p w14:paraId="3220E3F7"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Zhang, D., 2017. Research on personal income tax affecting structure of resident consumption expenditure in China. Modern Economy, 8(02), pp.161-171.</w:t>
      </w:r>
    </w:p>
    <w:p w14:paraId="32D65000" w14:textId="77777777" w:rsidR="00240524" w:rsidRPr="00284B0E"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0A4142">
        <w:rPr>
          <w:rFonts w:ascii="Times New Roman" w:eastAsia="Times New Roman" w:hAnsi="Times New Roman" w:cs="Times New Roman"/>
          <w:kern w:val="0"/>
          <w:sz w:val="24"/>
          <w:szCs w:val="24"/>
          <w14:ligatures w14:val="none"/>
        </w:rPr>
        <w:t>Zhang, D., 2017. Research on personal income tax affecting structure of resident consumption expenditure in China. Modern Economy, 8(02), pp.161-171.</w:t>
      </w:r>
    </w:p>
    <w:p w14:paraId="62C7DE99" w14:textId="7358BFFD" w:rsidR="00240524" w:rsidRDefault="00240524" w:rsidP="00240524">
      <w:pPr>
        <w:spacing w:after="240" w:line="360" w:lineRule="auto"/>
        <w:ind w:left="851" w:hanging="851"/>
        <w:jc w:val="both"/>
        <w:rPr>
          <w:rFonts w:ascii="Times New Roman" w:eastAsia="Times New Roman" w:hAnsi="Times New Roman" w:cs="Times New Roman"/>
          <w:kern w:val="0"/>
          <w:sz w:val="24"/>
          <w:szCs w:val="24"/>
          <w14:ligatures w14:val="none"/>
        </w:rPr>
      </w:pPr>
      <w:r w:rsidRPr="00284B0E">
        <w:rPr>
          <w:rFonts w:ascii="Times New Roman" w:eastAsia="Times New Roman" w:hAnsi="Times New Roman" w:cs="Times New Roman"/>
          <w:kern w:val="0"/>
          <w:sz w:val="24"/>
          <w:szCs w:val="24"/>
          <w14:ligatures w14:val="none"/>
        </w:rPr>
        <w:t>Zhang, H., 2021. Literature Review on the Impact of Individual Income Tax Reform on Residents' Consumption. Scientific Journal of Economics and Management Researc</w:t>
      </w:r>
      <w:r w:rsidR="002D3516">
        <w:rPr>
          <w:rFonts w:ascii="Times New Roman" w:eastAsia="Times New Roman" w:hAnsi="Times New Roman" w:cs="Times New Roman"/>
          <w:kern w:val="0"/>
          <w:sz w:val="24"/>
          <w:szCs w:val="24"/>
          <w14:ligatures w14:val="none"/>
        </w:rPr>
        <w:t>h</w:t>
      </w:r>
      <w:r w:rsidRPr="00284B0E">
        <w:rPr>
          <w:rFonts w:ascii="Times New Roman" w:eastAsia="Times New Roman" w:hAnsi="Times New Roman" w:cs="Times New Roman"/>
          <w:kern w:val="0"/>
          <w:sz w:val="24"/>
          <w:szCs w:val="24"/>
          <w14:ligatures w14:val="none"/>
        </w:rPr>
        <w:t>, 3(8)</w:t>
      </w:r>
      <w:r w:rsidR="002D3516">
        <w:rPr>
          <w:rFonts w:ascii="Times New Roman" w:eastAsia="Times New Roman" w:hAnsi="Times New Roman" w:cs="Times New Roman"/>
          <w:kern w:val="0"/>
          <w:sz w:val="24"/>
          <w:szCs w:val="24"/>
          <w14:ligatures w14:val="none"/>
        </w:rPr>
        <w:t>, 1-11</w:t>
      </w:r>
      <w:r w:rsidRPr="00284B0E">
        <w:rPr>
          <w:rFonts w:ascii="Times New Roman" w:eastAsia="Times New Roman" w:hAnsi="Times New Roman" w:cs="Times New Roman"/>
          <w:kern w:val="0"/>
          <w:sz w:val="24"/>
          <w:szCs w:val="24"/>
          <w14:ligatures w14:val="none"/>
        </w:rPr>
        <w:t>.</w:t>
      </w:r>
    </w:p>
    <w:sectPr w:rsidR="002405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2CCA6" w14:textId="77777777" w:rsidR="000B52E3" w:rsidRDefault="000B52E3" w:rsidP="0050122D">
      <w:pPr>
        <w:spacing w:after="0" w:line="240" w:lineRule="auto"/>
      </w:pPr>
      <w:r>
        <w:separator/>
      </w:r>
    </w:p>
  </w:endnote>
  <w:endnote w:type="continuationSeparator" w:id="0">
    <w:p w14:paraId="49623B21" w14:textId="77777777" w:rsidR="000B52E3" w:rsidRDefault="000B52E3" w:rsidP="0050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mr1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BFC5B" w14:textId="77777777" w:rsidR="000B52E3" w:rsidRDefault="000B52E3" w:rsidP="0050122D">
      <w:pPr>
        <w:spacing w:after="0" w:line="240" w:lineRule="auto"/>
      </w:pPr>
      <w:r>
        <w:separator/>
      </w:r>
    </w:p>
  </w:footnote>
  <w:footnote w:type="continuationSeparator" w:id="0">
    <w:p w14:paraId="0D4ACB8E" w14:textId="77777777" w:rsidR="000B52E3" w:rsidRDefault="000B52E3" w:rsidP="00501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12E83D4"/>
    <w:lvl w:ilvl="0">
      <w:start w:val="1"/>
      <w:numFmt w:val="decimal"/>
      <w:pStyle w:val="ListNumber2"/>
      <w:lvlText w:val="%1."/>
      <w:lvlJc w:val="left"/>
      <w:pPr>
        <w:tabs>
          <w:tab w:val="num" w:pos="1134"/>
        </w:tabs>
        <w:ind w:left="1134" w:hanging="567"/>
      </w:pPr>
      <w:rPr>
        <w:rFonts w:hint="default"/>
      </w:rPr>
    </w:lvl>
  </w:abstractNum>
  <w:abstractNum w:abstractNumId="1" w15:restartNumberingAfterBreak="0">
    <w:nsid w:val="FFFFFF80"/>
    <w:multiLevelType w:val="singleLevel"/>
    <w:tmpl w:val="7A3A8C3E"/>
    <w:lvl w:ilvl="0">
      <w:start w:val="1"/>
      <w:numFmt w:val="bullet"/>
      <w:pStyle w:val="ListBullet5"/>
      <w:lvlText w:val=""/>
      <w:lvlJc w:val="left"/>
      <w:pPr>
        <w:tabs>
          <w:tab w:val="num" w:pos="1786"/>
        </w:tabs>
        <w:ind w:left="1786" w:hanging="357"/>
      </w:pPr>
      <w:rPr>
        <w:rFonts w:ascii="Symbol" w:hAnsi="Symbol" w:hint="default"/>
      </w:rPr>
    </w:lvl>
  </w:abstractNum>
  <w:abstractNum w:abstractNumId="2" w15:restartNumberingAfterBreak="0">
    <w:nsid w:val="FFFFFF81"/>
    <w:multiLevelType w:val="singleLevel"/>
    <w:tmpl w:val="2514CEAE"/>
    <w:lvl w:ilvl="0">
      <w:start w:val="1"/>
      <w:numFmt w:val="bullet"/>
      <w:pStyle w:val="ListBullet4"/>
      <w:lvlText w:val=""/>
      <w:lvlJc w:val="left"/>
      <w:pPr>
        <w:tabs>
          <w:tab w:val="num" w:pos="1429"/>
        </w:tabs>
        <w:ind w:left="1429" w:hanging="357"/>
      </w:pPr>
      <w:rPr>
        <w:rFonts w:ascii="Symbol" w:hAnsi="Symbol" w:hint="default"/>
      </w:rPr>
    </w:lvl>
  </w:abstractNum>
  <w:abstractNum w:abstractNumId="3" w15:restartNumberingAfterBreak="0">
    <w:nsid w:val="FFFFFF82"/>
    <w:multiLevelType w:val="singleLevel"/>
    <w:tmpl w:val="3A261A22"/>
    <w:lvl w:ilvl="0">
      <w:start w:val="1"/>
      <w:numFmt w:val="bullet"/>
      <w:pStyle w:val="ListBullet3"/>
      <w:lvlText w:val=""/>
      <w:lvlJc w:val="left"/>
      <w:pPr>
        <w:tabs>
          <w:tab w:val="num" w:pos="1072"/>
        </w:tabs>
        <w:ind w:left="1072" w:hanging="358"/>
      </w:pPr>
      <w:rPr>
        <w:rFonts w:ascii="Symbol" w:hAnsi="Symbol" w:hint="default"/>
      </w:rPr>
    </w:lvl>
  </w:abstractNum>
  <w:abstractNum w:abstractNumId="4" w15:restartNumberingAfterBreak="0">
    <w:nsid w:val="FFFFFF83"/>
    <w:multiLevelType w:val="singleLevel"/>
    <w:tmpl w:val="F628F8B0"/>
    <w:lvl w:ilvl="0">
      <w:start w:val="1"/>
      <w:numFmt w:val="bullet"/>
      <w:pStyle w:val="ListBullet2"/>
      <w:lvlText w:val=""/>
      <w:lvlJc w:val="left"/>
      <w:pPr>
        <w:tabs>
          <w:tab w:val="num" w:pos="714"/>
        </w:tabs>
        <w:ind w:left="714" w:hanging="357"/>
      </w:pPr>
      <w:rPr>
        <w:rFonts w:ascii="Symbol" w:hAnsi="Symbol" w:hint="default"/>
      </w:rPr>
    </w:lvl>
  </w:abstractNum>
  <w:abstractNum w:abstractNumId="5" w15:restartNumberingAfterBreak="0">
    <w:nsid w:val="FFFFFF88"/>
    <w:multiLevelType w:val="singleLevel"/>
    <w:tmpl w:val="B96009AC"/>
    <w:lvl w:ilvl="0">
      <w:start w:val="1"/>
      <w:numFmt w:val="decimal"/>
      <w:pStyle w:val="H5"/>
      <w:lvlText w:val="%1"/>
      <w:lvlJc w:val="left"/>
      <w:pPr>
        <w:ind w:left="567" w:hanging="567"/>
      </w:pPr>
      <w:rPr>
        <w:rFonts w:hint="default"/>
      </w:rPr>
    </w:lvl>
  </w:abstractNum>
  <w:abstractNum w:abstractNumId="6" w15:restartNumberingAfterBreak="0">
    <w:nsid w:val="FFFFFF89"/>
    <w:multiLevelType w:val="singleLevel"/>
    <w:tmpl w:val="5F9078B0"/>
    <w:lvl w:ilvl="0">
      <w:start w:val="1"/>
      <w:numFmt w:val="bullet"/>
      <w:pStyle w:val="ListBullet"/>
      <w:lvlText w:val=""/>
      <w:lvlJc w:val="left"/>
      <w:pPr>
        <w:tabs>
          <w:tab w:val="num" w:pos="357"/>
        </w:tabs>
        <w:ind w:left="357" w:hanging="357"/>
      </w:pPr>
      <w:rPr>
        <w:rFonts w:ascii="Symbol" w:hAnsi="Symbol" w:hint="default"/>
      </w:rPr>
    </w:lvl>
  </w:abstractNum>
  <w:abstractNum w:abstractNumId="7" w15:restartNumberingAfterBreak="0">
    <w:nsid w:val="01747269"/>
    <w:multiLevelType w:val="multilevel"/>
    <w:tmpl w:val="E2C2A78C"/>
    <w:lvl w:ilvl="0">
      <w:start w:val="7"/>
      <w:numFmt w:val="decimal"/>
      <w:lvlText w:val="%1"/>
      <w:lvlJc w:val="left"/>
      <w:pPr>
        <w:ind w:left="600" w:hanging="600"/>
      </w:pPr>
      <w:rPr>
        <w:rFonts w:hint="default"/>
      </w:rPr>
    </w:lvl>
    <w:lvl w:ilvl="1">
      <w:start w:val="17"/>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7C83D8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ACF5A87"/>
    <w:multiLevelType w:val="multilevel"/>
    <w:tmpl w:val="B3BE0C7C"/>
    <w:lvl w:ilvl="0">
      <w:start w:val="1"/>
      <w:numFmt w:val="lowerRoman"/>
      <w:pStyle w:val="ListNumberRoman"/>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D1635CF"/>
    <w:multiLevelType w:val="multilevel"/>
    <w:tmpl w:val="543A8A3C"/>
    <w:styleLink w:val="List123"/>
    <w:lvl w:ilvl="0">
      <w:start w:val="1"/>
      <w:numFmt w:val="decimal"/>
      <w:lvlText w:val="%1"/>
      <w:lvlJc w:val="left"/>
      <w:pPr>
        <w:ind w:left="567" w:hanging="567"/>
      </w:pPr>
      <w:rPr>
        <w:rFonts w:ascii="Arial" w:hAnsi="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2C04BD"/>
    <w:multiLevelType w:val="multilevel"/>
    <w:tmpl w:val="A988568E"/>
    <w:lvl w:ilvl="0">
      <w:start w:val="1"/>
      <w:numFmt w:val="lowerLetter"/>
      <w:pStyle w:val="Tableabc8small"/>
      <w:lvlText w:val="%1"/>
      <w:lvlJc w:val="left"/>
      <w:pPr>
        <w:ind w:left="357" w:hanging="357"/>
      </w:pPr>
      <w:rPr>
        <w:rFonts w:ascii="Arial" w:hAnsi="Arial" w:hint="default"/>
        <w:sz w:val="16"/>
      </w:rPr>
    </w:lvl>
    <w:lvl w:ilvl="1">
      <w:start w:val="1"/>
      <w:numFmt w:val="lowerLetter"/>
      <w:lvlText w:val="%2"/>
      <w:lvlJc w:val="left"/>
      <w:pPr>
        <w:ind w:left="357" w:hanging="357"/>
      </w:pPr>
      <w:rPr>
        <w:rFonts w:ascii="Arial" w:hAnsi="Arial" w:hint="default"/>
        <w:sz w:val="16"/>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2" w15:restartNumberingAfterBreak="0">
    <w:nsid w:val="1407736A"/>
    <w:multiLevelType w:val="multilevel"/>
    <w:tmpl w:val="9F0AEEFE"/>
    <w:styleLink w:val="Style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17333D80"/>
    <w:multiLevelType w:val="hybridMultilevel"/>
    <w:tmpl w:val="20663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A05772B"/>
    <w:multiLevelType w:val="hybridMultilevel"/>
    <w:tmpl w:val="FEFA6D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C057E4D"/>
    <w:multiLevelType w:val="hybridMultilevel"/>
    <w:tmpl w:val="A0B6E51C"/>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18D3DC3"/>
    <w:multiLevelType w:val="hybridMultilevel"/>
    <w:tmpl w:val="D4F0A57C"/>
    <w:lvl w:ilvl="0" w:tplc="A2B8EA0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5E25504"/>
    <w:multiLevelType w:val="hybridMultilevel"/>
    <w:tmpl w:val="76587892"/>
    <w:lvl w:ilvl="0" w:tplc="E094340E">
      <w:start w:val="1"/>
      <w:numFmt w:val="decimal"/>
      <w:pStyle w:val="ListNumberBrackets"/>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3B46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8EC7E45"/>
    <w:multiLevelType w:val="hybridMultilevel"/>
    <w:tmpl w:val="F508F956"/>
    <w:lvl w:ilvl="0" w:tplc="DAB4C416">
      <w:start w:val="1"/>
      <w:numFmt w:val="decimal"/>
      <w:pStyle w:val="ListNumber"/>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0D14E8B"/>
    <w:multiLevelType w:val="hybridMultilevel"/>
    <w:tmpl w:val="5DBC90BA"/>
    <w:lvl w:ilvl="0" w:tplc="1C09000F">
      <w:start w:val="5"/>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4132599B"/>
    <w:multiLevelType w:val="multilevel"/>
    <w:tmpl w:val="39BEA4C4"/>
    <w:lvl w:ilvl="0">
      <w:start w:val="1"/>
      <w:numFmt w:val="lowerRoman"/>
      <w:pStyle w:val="ListNumberRoman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40C3A70"/>
    <w:multiLevelType w:val="multilevel"/>
    <w:tmpl w:val="F9FA7A42"/>
    <w:lvl w:ilvl="0">
      <w:start w:val="1"/>
      <w:numFmt w:val="lowerLetter"/>
      <w:pStyle w:val="ListNumberAlfabet"/>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54B0DA9"/>
    <w:multiLevelType w:val="hybridMultilevel"/>
    <w:tmpl w:val="5BD0D85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6446D33"/>
    <w:multiLevelType w:val="multilevel"/>
    <w:tmpl w:val="27E27592"/>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ED228F"/>
    <w:multiLevelType w:val="multilevel"/>
    <w:tmpl w:val="1C09001D"/>
    <w:styleLink w:val="Tableabc8small-"/>
    <w:lvl w:ilvl="0">
      <w:start w:val="1"/>
      <w:numFmt w:val="lowerLetter"/>
      <w:lvlText w:val="%1)"/>
      <w:lvlJc w:val="left"/>
      <w:pPr>
        <w:ind w:left="360" w:hanging="360"/>
      </w:pPr>
      <w:rPr>
        <w:rFonts w:ascii="Arial" w:hAnsi="Arial"/>
        <w:sz w:val="16"/>
      </w:rPr>
    </w:lvl>
    <w:lvl w:ilvl="1">
      <w:start w:val="1"/>
      <w:numFmt w:val="lowerLetter"/>
      <w:lvlText w:val="%2)"/>
      <w:lvlJc w:val="left"/>
      <w:pPr>
        <w:ind w:left="360" w:hanging="360"/>
      </w:pPr>
      <w:rPr>
        <w:rFonts w:ascii="Arial" w:hAnsi="Arial"/>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7C9269E"/>
    <w:multiLevelType w:val="hybridMultilevel"/>
    <w:tmpl w:val="554A6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054684C"/>
    <w:multiLevelType w:val="hybridMultilevel"/>
    <w:tmpl w:val="0B88AB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1C35C5F"/>
    <w:multiLevelType w:val="hybridMultilevel"/>
    <w:tmpl w:val="0916DF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3620C61"/>
    <w:multiLevelType w:val="hybridMultilevel"/>
    <w:tmpl w:val="36445C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4BF6F7C"/>
    <w:multiLevelType w:val="multilevel"/>
    <w:tmpl w:val="8910965C"/>
    <w:lvl w:ilvl="0">
      <w:start w:val="3"/>
      <w:numFmt w:val="decimal"/>
      <w:lvlText w:val="%1"/>
      <w:lvlJc w:val="left"/>
      <w:pPr>
        <w:ind w:left="360" w:hanging="360"/>
      </w:pPr>
      <w:rPr>
        <w:rFonts w:ascii="Times New Roman" w:hAnsi="Times New Roman" w:hint="default"/>
      </w:rPr>
    </w:lvl>
    <w:lvl w:ilvl="1">
      <w:start w:val="6"/>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31" w15:restartNumberingAfterBreak="0">
    <w:nsid w:val="5F824BA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832E2D"/>
    <w:multiLevelType w:val="hybridMultilevel"/>
    <w:tmpl w:val="0F5C8226"/>
    <w:lvl w:ilvl="0" w:tplc="86828E0E">
      <w:start w:val="1"/>
      <w:numFmt w:val="bullet"/>
      <w:lvlText w:val=""/>
      <w:lvlJc w:val="left"/>
      <w:pPr>
        <w:ind w:left="720" w:hanging="360"/>
      </w:pPr>
      <w:rPr>
        <w:rFonts w:ascii="Symbol" w:hAnsi="Symbol" w:hint="default"/>
        <w:sz w:val="32"/>
        <w:szCs w:val="3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227311F"/>
    <w:multiLevelType w:val="hybridMultilevel"/>
    <w:tmpl w:val="01929A24"/>
    <w:lvl w:ilvl="0" w:tplc="D88C165E">
      <w:start w:val="1"/>
      <w:numFmt w:val="bullet"/>
      <w:pStyle w:val="ListBulletSingleSpacing"/>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8205B45"/>
    <w:multiLevelType w:val="multilevel"/>
    <w:tmpl w:val="85D6D77C"/>
    <w:lvl w:ilvl="0">
      <w:start w:val="1"/>
      <w:numFmt w:val="lowerLetter"/>
      <w:pStyle w:val="Tableabc"/>
      <w:lvlText w:val="%1."/>
      <w:lvlJc w:val="left"/>
      <w:pPr>
        <w:ind w:left="357" w:hanging="357"/>
      </w:pPr>
    </w:lvl>
    <w:lvl w:ilvl="1">
      <w:start w:val="1"/>
      <w:numFmt w:val="decimal"/>
      <w:lvlText w:val="%2."/>
      <w:lvlJc w:val="left"/>
      <w:pPr>
        <w:tabs>
          <w:tab w:val="num" w:pos="1440"/>
        </w:tabs>
        <w:ind w:left="1077" w:hanging="357"/>
      </w:pPr>
      <w:rPr>
        <w:rFonts w:hint="default"/>
      </w:rPr>
    </w:lvl>
    <w:lvl w:ilvl="2">
      <w:start w:val="1"/>
      <w:numFmt w:val="decimal"/>
      <w:lvlText w:val="%3."/>
      <w:lvlJc w:val="left"/>
      <w:pPr>
        <w:tabs>
          <w:tab w:val="num" w:pos="2160"/>
        </w:tabs>
        <w:ind w:left="1797" w:hanging="357"/>
      </w:pPr>
      <w:rPr>
        <w:rFonts w:hint="default"/>
      </w:rPr>
    </w:lvl>
    <w:lvl w:ilvl="3">
      <w:start w:val="1"/>
      <w:numFmt w:val="decimal"/>
      <w:lvlText w:val="%4."/>
      <w:lvlJc w:val="left"/>
      <w:pPr>
        <w:tabs>
          <w:tab w:val="num" w:pos="2880"/>
        </w:tabs>
        <w:ind w:left="2517" w:hanging="357"/>
      </w:pPr>
      <w:rPr>
        <w:rFonts w:hint="default"/>
      </w:rPr>
    </w:lvl>
    <w:lvl w:ilvl="4">
      <w:start w:val="1"/>
      <w:numFmt w:val="decimal"/>
      <w:lvlText w:val="%5."/>
      <w:lvlJc w:val="left"/>
      <w:pPr>
        <w:tabs>
          <w:tab w:val="num" w:pos="3600"/>
        </w:tabs>
        <w:ind w:left="3237" w:hanging="357"/>
      </w:pPr>
      <w:rPr>
        <w:rFonts w:hint="default"/>
      </w:rPr>
    </w:lvl>
    <w:lvl w:ilvl="5">
      <w:start w:val="1"/>
      <w:numFmt w:val="decimal"/>
      <w:lvlText w:val="%6."/>
      <w:lvlJc w:val="left"/>
      <w:pPr>
        <w:tabs>
          <w:tab w:val="num" w:pos="4320"/>
        </w:tabs>
        <w:ind w:left="3957" w:hanging="357"/>
      </w:pPr>
      <w:rPr>
        <w:rFonts w:hint="default"/>
      </w:rPr>
    </w:lvl>
    <w:lvl w:ilvl="6">
      <w:start w:val="1"/>
      <w:numFmt w:val="decimal"/>
      <w:lvlText w:val="%7."/>
      <w:lvlJc w:val="left"/>
      <w:pPr>
        <w:tabs>
          <w:tab w:val="num" w:pos="5040"/>
        </w:tabs>
        <w:ind w:left="4677" w:hanging="357"/>
      </w:pPr>
      <w:rPr>
        <w:rFonts w:hint="default"/>
      </w:rPr>
    </w:lvl>
    <w:lvl w:ilvl="7">
      <w:start w:val="1"/>
      <w:numFmt w:val="decimal"/>
      <w:lvlText w:val="%8."/>
      <w:lvlJc w:val="left"/>
      <w:pPr>
        <w:tabs>
          <w:tab w:val="num" w:pos="5760"/>
        </w:tabs>
        <w:ind w:left="5397" w:hanging="357"/>
      </w:pPr>
      <w:rPr>
        <w:rFonts w:hint="default"/>
      </w:rPr>
    </w:lvl>
    <w:lvl w:ilvl="8">
      <w:start w:val="1"/>
      <w:numFmt w:val="decimal"/>
      <w:lvlText w:val="%9."/>
      <w:lvlJc w:val="left"/>
      <w:pPr>
        <w:tabs>
          <w:tab w:val="num" w:pos="6480"/>
        </w:tabs>
        <w:ind w:left="6117" w:hanging="357"/>
      </w:pPr>
      <w:rPr>
        <w:rFonts w:hint="default"/>
      </w:rPr>
    </w:lvl>
  </w:abstractNum>
  <w:abstractNum w:abstractNumId="35" w15:restartNumberingAfterBreak="0">
    <w:nsid w:val="69C62422"/>
    <w:multiLevelType w:val="hybridMultilevel"/>
    <w:tmpl w:val="2F74E71C"/>
    <w:lvl w:ilvl="0" w:tplc="71C61C0A">
      <w:start w:val="1"/>
      <w:numFmt w:val="lowerLetter"/>
      <w:pStyle w:val="ListABC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AEF231F"/>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0A534C1"/>
    <w:multiLevelType w:val="multilevel"/>
    <w:tmpl w:val="381ACD36"/>
    <w:lvl w:ilvl="0">
      <w:start w:val="7"/>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13E2699"/>
    <w:multiLevelType w:val="multilevel"/>
    <w:tmpl w:val="44CE0294"/>
    <w:lvl w:ilvl="0">
      <w:start w:val="1"/>
      <w:numFmt w:val="lowerLetter"/>
      <w:pStyle w:val="ListNumberAlfabet0"/>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57B3BC4"/>
    <w:multiLevelType w:val="hybridMultilevel"/>
    <w:tmpl w:val="77347078"/>
    <w:lvl w:ilvl="0" w:tplc="2B1053FC">
      <w:start w:val="1"/>
      <w:numFmt w:val="bullet"/>
      <w:pStyle w:val="ListBulletItalic"/>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85B1D56"/>
    <w:multiLevelType w:val="multilevel"/>
    <w:tmpl w:val="3882364E"/>
    <w:lvl w:ilvl="0">
      <w:start w:val="7"/>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9CF3B72"/>
    <w:multiLevelType w:val="multilevel"/>
    <w:tmpl w:val="A8D6BEF6"/>
    <w:lvl w:ilvl="0">
      <w:start w:val="7"/>
      <w:numFmt w:val="decimal"/>
      <w:lvlText w:val="%1"/>
      <w:lvlJc w:val="left"/>
      <w:pPr>
        <w:ind w:left="480" w:hanging="480"/>
      </w:pPr>
      <w:rPr>
        <w:rFonts w:ascii="Times New Roman" w:hAnsi="Times New Roman" w:hint="default"/>
        <w:b/>
        <w:sz w:val="24"/>
      </w:rPr>
    </w:lvl>
    <w:lvl w:ilvl="1">
      <w:start w:val="8"/>
      <w:numFmt w:val="decimal"/>
      <w:lvlText w:val="%1.%2"/>
      <w:lvlJc w:val="left"/>
      <w:pPr>
        <w:ind w:left="660" w:hanging="480"/>
      </w:pPr>
      <w:rPr>
        <w:rFonts w:ascii="Times New Roman" w:hAnsi="Times New Roman" w:hint="default"/>
        <w:b/>
        <w:sz w:val="24"/>
      </w:rPr>
    </w:lvl>
    <w:lvl w:ilvl="2">
      <w:start w:val="1"/>
      <w:numFmt w:val="decimal"/>
      <w:lvlText w:val="%1.%2.%3"/>
      <w:lvlJc w:val="left"/>
      <w:pPr>
        <w:ind w:left="1080" w:hanging="720"/>
      </w:pPr>
      <w:rPr>
        <w:rFonts w:ascii="Times New Roman" w:hAnsi="Times New Roman" w:hint="default"/>
        <w:b/>
        <w:sz w:val="24"/>
      </w:rPr>
    </w:lvl>
    <w:lvl w:ilvl="3">
      <w:start w:val="1"/>
      <w:numFmt w:val="decimal"/>
      <w:lvlText w:val="%1.%2.%3.%4"/>
      <w:lvlJc w:val="left"/>
      <w:pPr>
        <w:ind w:left="1260" w:hanging="720"/>
      </w:pPr>
      <w:rPr>
        <w:rFonts w:ascii="Times New Roman" w:hAnsi="Times New Roman" w:hint="default"/>
        <w:b/>
        <w:sz w:val="24"/>
      </w:rPr>
    </w:lvl>
    <w:lvl w:ilvl="4">
      <w:start w:val="1"/>
      <w:numFmt w:val="decimal"/>
      <w:lvlText w:val="%1.%2.%3.%4.%5"/>
      <w:lvlJc w:val="left"/>
      <w:pPr>
        <w:ind w:left="1800" w:hanging="1080"/>
      </w:pPr>
      <w:rPr>
        <w:rFonts w:ascii="Times New Roman" w:hAnsi="Times New Roman" w:hint="default"/>
        <w:b/>
        <w:sz w:val="24"/>
      </w:rPr>
    </w:lvl>
    <w:lvl w:ilvl="5">
      <w:start w:val="1"/>
      <w:numFmt w:val="decimal"/>
      <w:lvlText w:val="%1.%2.%3.%4.%5.%6"/>
      <w:lvlJc w:val="left"/>
      <w:pPr>
        <w:ind w:left="1980" w:hanging="1080"/>
      </w:pPr>
      <w:rPr>
        <w:rFonts w:ascii="Times New Roman" w:hAnsi="Times New Roman" w:hint="default"/>
        <w:b/>
        <w:sz w:val="24"/>
      </w:rPr>
    </w:lvl>
    <w:lvl w:ilvl="6">
      <w:start w:val="1"/>
      <w:numFmt w:val="decimal"/>
      <w:lvlText w:val="%1.%2.%3.%4.%5.%6.%7"/>
      <w:lvlJc w:val="left"/>
      <w:pPr>
        <w:ind w:left="2520" w:hanging="1440"/>
      </w:pPr>
      <w:rPr>
        <w:rFonts w:ascii="Times New Roman" w:hAnsi="Times New Roman" w:hint="default"/>
        <w:b/>
        <w:sz w:val="24"/>
      </w:rPr>
    </w:lvl>
    <w:lvl w:ilvl="7">
      <w:start w:val="1"/>
      <w:numFmt w:val="decimal"/>
      <w:lvlText w:val="%1.%2.%3.%4.%5.%6.%7.%8"/>
      <w:lvlJc w:val="left"/>
      <w:pPr>
        <w:ind w:left="2700" w:hanging="1440"/>
      </w:pPr>
      <w:rPr>
        <w:rFonts w:ascii="Times New Roman" w:hAnsi="Times New Roman" w:hint="default"/>
        <w:b/>
        <w:sz w:val="24"/>
      </w:rPr>
    </w:lvl>
    <w:lvl w:ilvl="8">
      <w:start w:val="1"/>
      <w:numFmt w:val="decimal"/>
      <w:lvlText w:val="%1.%2.%3.%4.%5.%6.%7.%8.%9"/>
      <w:lvlJc w:val="left"/>
      <w:pPr>
        <w:ind w:left="3240" w:hanging="1800"/>
      </w:pPr>
      <w:rPr>
        <w:rFonts w:ascii="Times New Roman" w:hAnsi="Times New Roman" w:hint="default"/>
        <w:b/>
        <w:sz w:val="24"/>
      </w:rPr>
    </w:lvl>
  </w:abstractNum>
  <w:abstractNum w:abstractNumId="42" w15:restartNumberingAfterBreak="0">
    <w:nsid w:val="7BD570FD"/>
    <w:multiLevelType w:val="multilevel"/>
    <w:tmpl w:val="D18213E0"/>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616E1C"/>
    <w:multiLevelType w:val="hybridMultilevel"/>
    <w:tmpl w:val="FC2492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05110694">
    <w:abstractNumId w:val="20"/>
  </w:num>
  <w:num w:numId="2" w16cid:durableId="576939441">
    <w:abstractNumId w:val="16"/>
  </w:num>
  <w:num w:numId="3" w16cid:durableId="27460158">
    <w:abstractNumId w:val="5"/>
  </w:num>
  <w:num w:numId="4" w16cid:durableId="105927655">
    <w:abstractNumId w:val="4"/>
  </w:num>
  <w:num w:numId="5" w16cid:durableId="963727559">
    <w:abstractNumId w:val="3"/>
  </w:num>
  <w:num w:numId="6" w16cid:durableId="2105149307">
    <w:abstractNumId w:val="2"/>
  </w:num>
  <w:num w:numId="7" w16cid:durableId="122042379">
    <w:abstractNumId w:val="1"/>
  </w:num>
  <w:num w:numId="8" w16cid:durableId="2066637756">
    <w:abstractNumId w:val="0"/>
  </w:num>
  <w:num w:numId="9" w16cid:durableId="925188340">
    <w:abstractNumId w:val="8"/>
  </w:num>
  <w:num w:numId="10" w16cid:durableId="797185883">
    <w:abstractNumId w:val="31"/>
  </w:num>
  <w:num w:numId="11" w16cid:durableId="736434320">
    <w:abstractNumId w:val="18"/>
  </w:num>
  <w:num w:numId="12" w16cid:durableId="727193309">
    <w:abstractNumId w:val="35"/>
  </w:num>
  <w:num w:numId="13" w16cid:durableId="939796152">
    <w:abstractNumId w:val="9"/>
  </w:num>
  <w:num w:numId="14" w16cid:durableId="851721171">
    <w:abstractNumId w:val="22"/>
  </w:num>
  <w:num w:numId="15" w16cid:durableId="27026008">
    <w:abstractNumId w:val="21"/>
  </w:num>
  <w:num w:numId="16" w16cid:durableId="686953012">
    <w:abstractNumId w:val="38"/>
  </w:num>
  <w:num w:numId="17" w16cid:durableId="1515612921">
    <w:abstractNumId w:val="10"/>
  </w:num>
  <w:num w:numId="18" w16cid:durableId="2073695476">
    <w:abstractNumId w:val="33"/>
  </w:num>
  <w:num w:numId="19" w16cid:durableId="1574196725">
    <w:abstractNumId w:val="19"/>
  </w:num>
  <w:num w:numId="20" w16cid:durableId="1801461573">
    <w:abstractNumId w:val="6"/>
  </w:num>
  <w:num w:numId="21" w16cid:durableId="1027562616">
    <w:abstractNumId w:val="39"/>
  </w:num>
  <w:num w:numId="22" w16cid:durableId="925920936">
    <w:abstractNumId w:val="34"/>
  </w:num>
  <w:num w:numId="23" w16cid:durableId="312023112">
    <w:abstractNumId w:val="25"/>
  </w:num>
  <w:num w:numId="24" w16cid:durableId="1536623968">
    <w:abstractNumId w:val="11"/>
  </w:num>
  <w:num w:numId="25" w16cid:durableId="390158519">
    <w:abstractNumId w:val="17"/>
  </w:num>
  <w:num w:numId="26" w16cid:durableId="1782601915">
    <w:abstractNumId w:val="12"/>
  </w:num>
  <w:num w:numId="27" w16cid:durableId="236944256">
    <w:abstractNumId w:val="28"/>
  </w:num>
  <w:num w:numId="28" w16cid:durableId="1257976468">
    <w:abstractNumId w:val="32"/>
  </w:num>
  <w:num w:numId="29" w16cid:durableId="416875585">
    <w:abstractNumId w:val="40"/>
  </w:num>
  <w:num w:numId="30" w16cid:durableId="1778981437">
    <w:abstractNumId w:val="41"/>
  </w:num>
  <w:num w:numId="31" w16cid:durableId="12458249">
    <w:abstractNumId w:val="37"/>
  </w:num>
  <w:num w:numId="32" w16cid:durableId="1071653866">
    <w:abstractNumId w:val="7"/>
  </w:num>
  <w:num w:numId="33" w16cid:durableId="1956791205">
    <w:abstractNumId w:val="29"/>
  </w:num>
  <w:num w:numId="34" w16cid:durableId="964895178">
    <w:abstractNumId w:val="27"/>
  </w:num>
  <w:num w:numId="35" w16cid:durableId="218786321">
    <w:abstractNumId w:val="26"/>
  </w:num>
  <w:num w:numId="36" w16cid:durableId="587008933">
    <w:abstractNumId w:val="13"/>
  </w:num>
  <w:num w:numId="37" w16cid:durableId="1562862218">
    <w:abstractNumId w:val="14"/>
  </w:num>
  <w:num w:numId="38" w16cid:durableId="278873848">
    <w:abstractNumId w:val="43"/>
  </w:num>
  <w:num w:numId="39" w16cid:durableId="705912853">
    <w:abstractNumId w:val="36"/>
  </w:num>
  <w:num w:numId="40" w16cid:durableId="1365592861">
    <w:abstractNumId w:val="15"/>
  </w:num>
  <w:num w:numId="41" w16cid:durableId="1984046393">
    <w:abstractNumId w:val="23"/>
  </w:num>
  <w:num w:numId="42" w16cid:durableId="1704985291">
    <w:abstractNumId w:val="30"/>
  </w:num>
  <w:num w:numId="43" w16cid:durableId="1719814543">
    <w:abstractNumId w:val="24"/>
  </w:num>
  <w:num w:numId="44" w16cid:durableId="210517741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0MLY0sDQwMjIwNjZR0lEKTi0uzszPAykwrQUA/dAf7CwAAAA="/>
  </w:docVars>
  <w:rsids>
    <w:rsidRoot w:val="0050122D"/>
    <w:rsid w:val="00062244"/>
    <w:rsid w:val="000923A7"/>
    <w:rsid w:val="000A4142"/>
    <w:rsid w:val="000B52E3"/>
    <w:rsid w:val="000D55C8"/>
    <w:rsid w:val="000D620C"/>
    <w:rsid w:val="00105290"/>
    <w:rsid w:val="001652FC"/>
    <w:rsid w:val="0016701E"/>
    <w:rsid w:val="001A2781"/>
    <w:rsid w:val="001A5F38"/>
    <w:rsid w:val="001F3285"/>
    <w:rsid w:val="00240524"/>
    <w:rsid w:val="00284B0E"/>
    <w:rsid w:val="00295A9D"/>
    <w:rsid w:val="002D3516"/>
    <w:rsid w:val="002E2E4E"/>
    <w:rsid w:val="0032377D"/>
    <w:rsid w:val="00390189"/>
    <w:rsid w:val="0039315E"/>
    <w:rsid w:val="003C3519"/>
    <w:rsid w:val="003C7810"/>
    <w:rsid w:val="003D2436"/>
    <w:rsid w:val="003F36D4"/>
    <w:rsid w:val="004259E0"/>
    <w:rsid w:val="00443C70"/>
    <w:rsid w:val="004B082C"/>
    <w:rsid w:val="0050122D"/>
    <w:rsid w:val="0057455A"/>
    <w:rsid w:val="005C5C8F"/>
    <w:rsid w:val="00656113"/>
    <w:rsid w:val="00683248"/>
    <w:rsid w:val="006A0B1F"/>
    <w:rsid w:val="006F0DCA"/>
    <w:rsid w:val="0073235B"/>
    <w:rsid w:val="0073279D"/>
    <w:rsid w:val="00754973"/>
    <w:rsid w:val="007902F0"/>
    <w:rsid w:val="007F61FB"/>
    <w:rsid w:val="00803D06"/>
    <w:rsid w:val="00815611"/>
    <w:rsid w:val="008336A5"/>
    <w:rsid w:val="00841FF6"/>
    <w:rsid w:val="00882D9C"/>
    <w:rsid w:val="008B0964"/>
    <w:rsid w:val="0090243A"/>
    <w:rsid w:val="00911284"/>
    <w:rsid w:val="00986511"/>
    <w:rsid w:val="009A549D"/>
    <w:rsid w:val="009F30BA"/>
    <w:rsid w:val="00A44205"/>
    <w:rsid w:val="00AA5FD8"/>
    <w:rsid w:val="00AD1F65"/>
    <w:rsid w:val="00B95441"/>
    <w:rsid w:val="00BF3107"/>
    <w:rsid w:val="00C432BE"/>
    <w:rsid w:val="00CA5213"/>
    <w:rsid w:val="00CC64A5"/>
    <w:rsid w:val="00D04F61"/>
    <w:rsid w:val="00D0787E"/>
    <w:rsid w:val="00D43ED0"/>
    <w:rsid w:val="00DC2E4E"/>
    <w:rsid w:val="00E054A8"/>
    <w:rsid w:val="00EF163C"/>
    <w:rsid w:val="00F34561"/>
    <w:rsid w:val="00F604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66CC040"/>
  <w15:chartTrackingRefBased/>
  <w15:docId w15:val="{DE4C5F41-7360-4ED9-B0BB-3E4F9579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50122D"/>
    <w:pPr>
      <w:keepNext/>
      <w:keepLines/>
      <w:spacing w:before="360" w:after="80"/>
      <w:ind w:left="567" w:hanging="567"/>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122D"/>
    <w:pPr>
      <w:keepNext/>
      <w:keepLines/>
      <w:numPr>
        <w:ilvl w:val="1"/>
        <w:numId w:val="3"/>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122D"/>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122D"/>
    <w:pPr>
      <w:keepNext/>
      <w:keepLines/>
      <w:numPr>
        <w:ilvl w:val="3"/>
        <w:numId w:val="3"/>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0122D"/>
    <w:pPr>
      <w:keepNext/>
      <w:keepLines/>
      <w:numPr>
        <w:ilvl w:val="4"/>
        <w:numId w:val="3"/>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22D"/>
    <w:pPr>
      <w:keepNext/>
      <w:keepLines/>
      <w:numPr>
        <w:ilvl w:val="5"/>
        <w:numId w:val="3"/>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22D"/>
    <w:pPr>
      <w:keepNext/>
      <w:keepLines/>
      <w:numPr>
        <w:ilvl w:val="6"/>
        <w:numId w:val="3"/>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22D"/>
    <w:pPr>
      <w:keepNext/>
      <w:keepLines/>
      <w:numPr>
        <w:ilvl w:val="7"/>
        <w:numId w:val="3"/>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22D"/>
    <w:pPr>
      <w:keepNext/>
      <w:keepLines/>
      <w:numPr>
        <w:ilvl w:val="8"/>
        <w:numId w:val="3"/>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1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1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01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01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22D"/>
    <w:rPr>
      <w:rFonts w:eastAsiaTheme="majorEastAsia" w:cstheme="majorBidi"/>
      <w:color w:val="272727" w:themeColor="text1" w:themeTint="D8"/>
    </w:rPr>
  </w:style>
  <w:style w:type="paragraph" w:styleId="Title">
    <w:name w:val="Title"/>
    <w:basedOn w:val="Normal"/>
    <w:next w:val="Normal"/>
    <w:link w:val="TitleChar"/>
    <w:uiPriority w:val="10"/>
    <w:qFormat/>
    <w:rsid w:val="00501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22D"/>
    <w:pPr>
      <w:spacing w:before="160"/>
      <w:jc w:val="center"/>
    </w:pPr>
    <w:rPr>
      <w:i/>
      <w:iCs/>
      <w:color w:val="404040" w:themeColor="text1" w:themeTint="BF"/>
    </w:rPr>
  </w:style>
  <w:style w:type="character" w:customStyle="1" w:styleId="QuoteChar">
    <w:name w:val="Quote Char"/>
    <w:basedOn w:val="DefaultParagraphFont"/>
    <w:link w:val="Quote"/>
    <w:uiPriority w:val="29"/>
    <w:rsid w:val="0050122D"/>
    <w:rPr>
      <w:i/>
      <w:iCs/>
      <w:color w:val="404040" w:themeColor="text1" w:themeTint="BF"/>
    </w:rPr>
  </w:style>
  <w:style w:type="paragraph" w:styleId="ListParagraph">
    <w:name w:val="List Paragraph"/>
    <w:basedOn w:val="Normal"/>
    <w:link w:val="ListParagraphChar"/>
    <w:uiPriority w:val="34"/>
    <w:qFormat/>
    <w:rsid w:val="0050122D"/>
    <w:pPr>
      <w:ind w:left="720"/>
      <w:contextualSpacing/>
    </w:pPr>
  </w:style>
  <w:style w:type="character" w:styleId="IntenseEmphasis">
    <w:name w:val="Intense Emphasis"/>
    <w:basedOn w:val="DefaultParagraphFont"/>
    <w:uiPriority w:val="21"/>
    <w:qFormat/>
    <w:rsid w:val="0050122D"/>
    <w:rPr>
      <w:i/>
      <w:iCs/>
      <w:color w:val="0F4761" w:themeColor="accent1" w:themeShade="BF"/>
    </w:rPr>
  </w:style>
  <w:style w:type="paragraph" w:styleId="IntenseQuote">
    <w:name w:val="Intense Quote"/>
    <w:basedOn w:val="Normal"/>
    <w:next w:val="Normal"/>
    <w:link w:val="IntenseQuoteChar"/>
    <w:uiPriority w:val="30"/>
    <w:qFormat/>
    <w:rsid w:val="00501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22D"/>
    <w:rPr>
      <w:i/>
      <w:iCs/>
      <w:color w:val="0F4761" w:themeColor="accent1" w:themeShade="BF"/>
    </w:rPr>
  </w:style>
  <w:style w:type="character" w:styleId="IntenseReference">
    <w:name w:val="Intense Reference"/>
    <w:basedOn w:val="DefaultParagraphFont"/>
    <w:uiPriority w:val="32"/>
    <w:qFormat/>
    <w:rsid w:val="0050122D"/>
    <w:rPr>
      <w:b/>
      <w:bCs/>
      <w:smallCaps/>
      <w:color w:val="0F4761" w:themeColor="accent1" w:themeShade="BF"/>
      <w:spacing w:val="5"/>
    </w:rPr>
  </w:style>
  <w:style w:type="numbering" w:customStyle="1" w:styleId="NoList1">
    <w:name w:val="No List1"/>
    <w:next w:val="NoList"/>
    <w:uiPriority w:val="99"/>
    <w:semiHidden/>
    <w:unhideWhenUsed/>
    <w:rsid w:val="0050122D"/>
  </w:style>
  <w:style w:type="paragraph" w:styleId="FootnoteText">
    <w:name w:val="footnote text"/>
    <w:basedOn w:val="Normal"/>
    <w:link w:val="FootnoteTextChar"/>
    <w:unhideWhenUsed/>
    <w:rsid w:val="0050122D"/>
    <w:pPr>
      <w:spacing w:after="0" w:line="240" w:lineRule="auto"/>
    </w:pPr>
    <w:rPr>
      <w:kern w:val="0"/>
      <w:sz w:val="20"/>
      <w:szCs w:val="20"/>
      <w14:ligatures w14:val="none"/>
    </w:rPr>
  </w:style>
  <w:style w:type="character" w:customStyle="1" w:styleId="FootnoteTextChar">
    <w:name w:val="Footnote Text Char"/>
    <w:basedOn w:val="DefaultParagraphFont"/>
    <w:link w:val="FootnoteText"/>
    <w:rsid w:val="0050122D"/>
    <w:rPr>
      <w:kern w:val="0"/>
      <w:sz w:val="20"/>
      <w:szCs w:val="20"/>
      <w14:ligatures w14:val="none"/>
    </w:rPr>
  </w:style>
  <w:style w:type="character" w:styleId="FootnoteReference">
    <w:name w:val="footnote reference"/>
    <w:basedOn w:val="DefaultParagraphFont"/>
    <w:unhideWhenUsed/>
    <w:rsid w:val="0050122D"/>
    <w:rPr>
      <w:vertAlign w:val="superscript"/>
    </w:rPr>
  </w:style>
  <w:style w:type="character" w:customStyle="1" w:styleId="Hyperlink1">
    <w:name w:val="Hyperlink1"/>
    <w:basedOn w:val="DefaultParagraphFont"/>
    <w:uiPriority w:val="99"/>
    <w:unhideWhenUsed/>
    <w:rsid w:val="0050122D"/>
    <w:rPr>
      <w:color w:val="0563C1"/>
      <w:u w:val="single"/>
    </w:rPr>
  </w:style>
  <w:style w:type="character" w:customStyle="1" w:styleId="UnresolvedMention1">
    <w:name w:val="Unresolved Mention1"/>
    <w:basedOn w:val="DefaultParagraphFont"/>
    <w:uiPriority w:val="99"/>
    <w:semiHidden/>
    <w:unhideWhenUsed/>
    <w:rsid w:val="0050122D"/>
    <w:rPr>
      <w:color w:val="605E5C"/>
      <w:shd w:val="clear" w:color="auto" w:fill="E1DFDD"/>
    </w:rPr>
  </w:style>
  <w:style w:type="paragraph" w:styleId="Header">
    <w:name w:val="header"/>
    <w:basedOn w:val="Normal"/>
    <w:link w:val="HeaderChar"/>
    <w:uiPriority w:val="99"/>
    <w:unhideWhenUsed/>
    <w:rsid w:val="0050122D"/>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50122D"/>
    <w:rPr>
      <w:kern w:val="0"/>
      <w14:ligatures w14:val="none"/>
    </w:rPr>
  </w:style>
  <w:style w:type="paragraph" w:styleId="Footer">
    <w:name w:val="footer"/>
    <w:basedOn w:val="Normal"/>
    <w:link w:val="FooterChar"/>
    <w:uiPriority w:val="99"/>
    <w:unhideWhenUsed/>
    <w:rsid w:val="0050122D"/>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50122D"/>
    <w:rPr>
      <w:kern w:val="0"/>
      <w14:ligatures w14:val="none"/>
    </w:rPr>
  </w:style>
  <w:style w:type="character" w:styleId="PlaceholderText">
    <w:name w:val="Placeholder Text"/>
    <w:basedOn w:val="DefaultParagraphFont"/>
    <w:uiPriority w:val="99"/>
    <w:semiHidden/>
    <w:rsid w:val="0050122D"/>
    <w:rPr>
      <w:color w:val="808080"/>
    </w:rPr>
  </w:style>
  <w:style w:type="table" w:styleId="TableGrid">
    <w:name w:val="Table Grid"/>
    <w:basedOn w:val="TableNormal"/>
    <w:uiPriority w:val="39"/>
    <w:rsid w:val="0050122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122D"/>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50122D"/>
    <w:rPr>
      <w:rFonts w:ascii="Segoe UI" w:hAnsi="Segoe UI" w:cs="Segoe UI"/>
      <w:kern w:val="0"/>
      <w:sz w:val="18"/>
      <w:szCs w:val="18"/>
      <w14:ligatures w14:val="none"/>
    </w:rPr>
  </w:style>
  <w:style w:type="character" w:styleId="CommentReference">
    <w:name w:val="annotation reference"/>
    <w:basedOn w:val="DefaultParagraphFont"/>
    <w:unhideWhenUsed/>
    <w:rsid w:val="0050122D"/>
    <w:rPr>
      <w:sz w:val="16"/>
      <w:szCs w:val="16"/>
    </w:rPr>
  </w:style>
  <w:style w:type="paragraph" w:styleId="CommentText">
    <w:name w:val="annotation text"/>
    <w:basedOn w:val="Normal"/>
    <w:link w:val="CommentTextChar"/>
    <w:uiPriority w:val="99"/>
    <w:unhideWhenUsed/>
    <w:rsid w:val="0050122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0122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0122D"/>
    <w:rPr>
      <w:b/>
      <w:bCs/>
    </w:rPr>
  </w:style>
  <w:style w:type="character" w:customStyle="1" w:styleId="CommentSubjectChar">
    <w:name w:val="Comment Subject Char"/>
    <w:basedOn w:val="CommentTextChar"/>
    <w:link w:val="CommentSubject"/>
    <w:uiPriority w:val="99"/>
    <w:semiHidden/>
    <w:rsid w:val="0050122D"/>
    <w:rPr>
      <w:b/>
      <w:bCs/>
      <w:kern w:val="0"/>
      <w:sz w:val="20"/>
      <w:szCs w:val="20"/>
      <w14:ligatures w14:val="none"/>
    </w:rPr>
  </w:style>
  <w:style w:type="paragraph" w:styleId="Revision">
    <w:name w:val="Revision"/>
    <w:hidden/>
    <w:uiPriority w:val="99"/>
    <w:semiHidden/>
    <w:rsid w:val="0050122D"/>
    <w:pPr>
      <w:spacing w:after="0" w:line="240" w:lineRule="auto"/>
    </w:pPr>
    <w:rPr>
      <w:kern w:val="0"/>
      <w14:ligatures w14:val="none"/>
    </w:rPr>
  </w:style>
  <w:style w:type="character" w:styleId="EndnoteReference">
    <w:name w:val="endnote reference"/>
    <w:basedOn w:val="DefaultParagraphFont"/>
    <w:uiPriority w:val="99"/>
    <w:semiHidden/>
    <w:unhideWhenUsed/>
    <w:rsid w:val="0050122D"/>
    <w:rPr>
      <w:vertAlign w:val="superscript"/>
    </w:rPr>
  </w:style>
  <w:style w:type="paragraph" w:customStyle="1" w:styleId="preflight-heading">
    <w:name w:val="preflight-heading"/>
    <w:rsid w:val="0050122D"/>
    <w:pPr>
      <w:spacing w:before="60" w:after="60"/>
    </w:pPr>
    <w:rPr>
      <w:b/>
      <w:color w:val="000000"/>
      <w:kern w:val="0"/>
      <w:sz w:val="20"/>
      <w14:ligatures w14:val="none"/>
    </w:rPr>
  </w:style>
  <w:style w:type="paragraph" w:customStyle="1" w:styleId="preflight-description">
    <w:name w:val="preflight-description"/>
    <w:rsid w:val="0050122D"/>
    <w:pPr>
      <w:spacing w:before="60" w:after="60"/>
    </w:pPr>
    <w:rPr>
      <w:color w:val="000000"/>
      <w:kern w:val="0"/>
      <w:sz w:val="20"/>
      <w14:ligatures w14:val="none"/>
    </w:rPr>
  </w:style>
  <w:style w:type="paragraph" w:customStyle="1" w:styleId="preflight-link">
    <w:name w:val="preflight-link"/>
    <w:rsid w:val="0050122D"/>
    <w:pPr>
      <w:spacing w:before="60" w:after="60"/>
    </w:pPr>
    <w:rPr>
      <w:color w:val="0000FF"/>
      <w:kern w:val="0"/>
      <w:sz w:val="20"/>
      <w:u w:val="single"/>
      <w14:ligatures w14:val="none"/>
    </w:rPr>
  </w:style>
  <w:style w:type="paragraph" w:customStyle="1" w:styleId="preflight-example">
    <w:name w:val="preflight-example"/>
    <w:rsid w:val="0050122D"/>
    <w:pPr>
      <w:spacing w:before="180" w:after="60"/>
    </w:pPr>
    <w:rPr>
      <w:i/>
      <w:color w:val="000000"/>
      <w:kern w:val="0"/>
      <w:sz w:val="20"/>
      <w14:ligatures w14:val="none"/>
    </w:rPr>
  </w:style>
  <w:style w:type="character" w:styleId="UnresolvedMention">
    <w:name w:val="Unresolved Mention"/>
    <w:basedOn w:val="DefaultParagraphFont"/>
    <w:uiPriority w:val="99"/>
    <w:semiHidden/>
    <w:unhideWhenUsed/>
    <w:rsid w:val="0050122D"/>
    <w:rPr>
      <w:color w:val="605E5C"/>
      <w:shd w:val="clear" w:color="auto" w:fill="E1DFDD"/>
    </w:rPr>
  </w:style>
  <w:style w:type="numbering" w:customStyle="1" w:styleId="NoList11">
    <w:name w:val="No List11"/>
    <w:next w:val="NoList"/>
    <w:uiPriority w:val="99"/>
    <w:semiHidden/>
    <w:unhideWhenUsed/>
    <w:rsid w:val="0050122D"/>
  </w:style>
  <w:style w:type="paragraph" w:customStyle="1" w:styleId="Par1">
    <w:name w:val="Par 1"/>
    <w:basedOn w:val="Heading1"/>
    <w:next w:val="Normal"/>
    <w:semiHidden/>
    <w:rsid w:val="0050122D"/>
  </w:style>
  <w:style w:type="paragraph" w:customStyle="1" w:styleId="Par2">
    <w:name w:val="Par 2"/>
    <w:basedOn w:val="Heading2"/>
    <w:next w:val="Normal"/>
    <w:semiHidden/>
    <w:rsid w:val="0050122D"/>
  </w:style>
  <w:style w:type="paragraph" w:customStyle="1" w:styleId="Par3">
    <w:name w:val="Par 3"/>
    <w:basedOn w:val="Heading3"/>
    <w:next w:val="Normal"/>
    <w:semiHidden/>
    <w:rsid w:val="0050122D"/>
  </w:style>
  <w:style w:type="paragraph" w:customStyle="1" w:styleId="Par4">
    <w:name w:val="Par 4"/>
    <w:basedOn w:val="Heading4"/>
    <w:next w:val="Normal"/>
    <w:semiHidden/>
    <w:rsid w:val="0050122D"/>
  </w:style>
  <w:style w:type="paragraph" w:customStyle="1" w:styleId="Par5">
    <w:name w:val="Par 5"/>
    <w:basedOn w:val="Heading5"/>
    <w:next w:val="Normal"/>
    <w:semiHidden/>
    <w:rsid w:val="0050122D"/>
  </w:style>
  <w:style w:type="paragraph" w:customStyle="1" w:styleId="Par6">
    <w:name w:val="Par 6"/>
    <w:basedOn w:val="Heading6"/>
    <w:next w:val="Normal"/>
    <w:semiHidden/>
    <w:rsid w:val="0050122D"/>
  </w:style>
  <w:style w:type="paragraph" w:customStyle="1" w:styleId="Par7">
    <w:name w:val="Par 7"/>
    <w:basedOn w:val="Heading7"/>
    <w:next w:val="Normal"/>
    <w:semiHidden/>
    <w:rsid w:val="0050122D"/>
  </w:style>
  <w:style w:type="paragraph" w:customStyle="1" w:styleId="Par8">
    <w:name w:val="Par 8"/>
    <w:basedOn w:val="Heading8"/>
    <w:next w:val="Normal"/>
    <w:semiHidden/>
    <w:rsid w:val="0050122D"/>
  </w:style>
  <w:style w:type="paragraph" w:customStyle="1" w:styleId="Par9">
    <w:name w:val="Par 9"/>
    <w:basedOn w:val="Heading9"/>
    <w:next w:val="Normal"/>
    <w:semiHidden/>
    <w:rsid w:val="0050122D"/>
  </w:style>
  <w:style w:type="paragraph" w:customStyle="1" w:styleId="NormalBold">
    <w:name w:val="Normal_Bold"/>
    <w:basedOn w:val="Normal"/>
    <w:next w:val="Normal"/>
    <w:semiHidden/>
    <w:rsid w:val="0050122D"/>
    <w:pPr>
      <w:spacing w:after="240" w:line="360" w:lineRule="auto"/>
      <w:jc w:val="both"/>
    </w:pPr>
    <w:rPr>
      <w:rFonts w:ascii="Arial" w:eastAsia="Times New Roman" w:hAnsi="Arial" w:cs="Times New Roman"/>
      <w:b/>
      <w:kern w:val="0"/>
      <w:sz w:val="24"/>
      <w:szCs w:val="20"/>
      <w14:ligatures w14:val="none"/>
    </w:rPr>
  </w:style>
  <w:style w:type="paragraph" w:customStyle="1" w:styleId="NormalIndentLeftRight">
    <w:name w:val="Normal_IndentLeftRight"/>
    <w:basedOn w:val="Normal"/>
    <w:next w:val="Normal"/>
    <w:semiHidden/>
    <w:rsid w:val="0050122D"/>
    <w:pPr>
      <w:spacing w:after="240" w:line="360" w:lineRule="auto"/>
      <w:ind w:left="720" w:right="720"/>
      <w:jc w:val="both"/>
    </w:pPr>
    <w:rPr>
      <w:rFonts w:ascii="Arial" w:eastAsia="Times New Roman" w:hAnsi="Arial" w:cs="Times New Roman"/>
      <w:kern w:val="0"/>
      <w:sz w:val="24"/>
      <w:szCs w:val="20"/>
      <w14:ligatures w14:val="none"/>
    </w:rPr>
  </w:style>
  <w:style w:type="paragraph" w:customStyle="1" w:styleId="NormalItalic">
    <w:name w:val="Normal_Italic"/>
    <w:basedOn w:val="Normal"/>
    <w:next w:val="Normal"/>
    <w:semiHidden/>
    <w:rsid w:val="0050122D"/>
    <w:pPr>
      <w:spacing w:after="240" w:line="360" w:lineRule="auto"/>
      <w:jc w:val="both"/>
    </w:pPr>
    <w:rPr>
      <w:rFonts w:ascii="Arial" w:eastAsia="Times New Roman" w:hAnsi="Arial" w:cs="Times New Roman"/>
      <w:i/>
      <w:kern w:val="0"/>
      <w:sz w:val="24"/>
      <w:szCs w:val="20"/>
      <w14:ligatures w14:val="none"/>
    </w:rPr>
  </w:style>
  <w:style w:type="paragraph" w:customStyle="1" w:styleId="Heading0">
    <w:name w:val="Heading 0"/>
    <w:basedOn w:val="Normal"/>
    <w:next w:val="Heading1"/>
    <w:autoRedefine/>
    <w:rsid w:val="0050122D"/>
    <w:pPr>
      <w:keepNext/>
      <w:spacing w:after="360" w:line="360" w:lineRule="auto"/>
      <w:jc w:val="center"/>
    </w:pPr>
    <w:rPr>
      <w:rFonts w:ascii="Arial" w:eastAsia="Times New Roman" w:hAnsi="Arial" w:cs="Arial"/>
      <w:b/>
      <w:caps/>
      <w:kern w:val="0"/>
      <w:sz w:val="24"/>
      <w:szCs w:val="24"/>
      <w14:ligatures w14:val="none"/>
    </w:rPr>
  </w:style>
  <w:style w:type="paragraph" w:customStyle="1" w:styleId="TableHeading">
    <w:name w:val="Table_Heading"/>
    <w:basedOn w:val="Normal"/>
    <w:next w:val="Normal"/>
    <w:rsid w:val="0050122D"/>
    <w:pPr>
      <w:keepNext/>
      <w:spacing w:before="60" w:after="60" w:line="240" w:lineRule="auto"/>
      <w:jc w:val="center"/>
    </w:pPr>
    <w:rPr>
      <w:rFonts w:ascii="Arial" w:eastAsia="Times New Roman" w:hAnsi="Arial" w:cs="Times New Roman"/>
      <w:b/>
      <w:kern w:val="0"/>
      <w:sz w:val="24"/>
      <w:szCs w:val="20"/>
      <w14:ligatures w14:val="none"/>
    </w:rPr>
  </w:style>
  <w:style w:type="character" w:styleId="PageNumber">
    <w:name w:val="page number"/>
    <w:rsid w:val="0050122D"/>
    <w:rPr>
      <w:rFonts w:ascii="Arial" w:hAnsi="Arial"/>
      <w:sz w:val="22"/>
      <w:szCs w:val="20"/>
      <w:lang w:val="en-ZA"/>
    </w:rPr>
  </w:style>
  <w:style w:type="paragraph" w:customStyle="1" w:styleId="TOCHeading">
    <w:name w:val="TOC_Heading"/>
    <w:basedOn w:val="Normal"/>
    <w:next w:val="Normal"/>
    <w:link w:val="TOCHeadingChar"/>
    <w:autoRedefine/>
    <w:rsid w:val="0050122D"/>
    <w:pPr>
      <w:spacing w:after="360" w:line="360" w:lineRule="auto"/>
      <w:jc w:val="center"/>
    </w:pPr>
    <w:rPr>
      <w:rFonts w:ascii="Arial Bold" w:eastAsia="Times New Roman" w:hAnsi="Arial Bold" w:cs="Times New Roman"/>
      <w:b/>
      <w:caps/>
      <w:kern w:val="0"/>
      <w:sz w:val="24"/>
      <w:szCs w:val="24"/>
      <w14:ligatures w14:val="none"/>
    </w:rPr>
  </w:style>
  <w:style w:type="paragraph" w:styleId="TOC1">
    <w:name w:val="toc 1"/>
    <w:basedOn w:val="Normal"/>
    <w:next w:val="Normal"/>
    <w:autoRedefine/>
    <w:uiPriority w:val="39"/>
    <w:rsid w:val="0050122D"/>
    <w:pPr>
      <w:tabs>
        <w:tab w:val="right" w:leader="dot" w:pos="9299"/>
      </w:tabs>
      <w:spacing w:after="0" w:line="360" w:lineRule="auto"/>
      <w:ind w:left="851" w:hanging="851"/>
    </w:pPr>
    <w:rPr>
      <w:rFonts w:ascii="Arial" w:eastAsia="Times New Roman" w:hAnsi="Arial" w:cs="Times New Roman"/>
      <w:kern w:val="0"/>
      <w:sz w:val="24"/>
      <w14:ligatures w14:val="none"/>
    </w:rPr>
  </w:style>
  <w:style w:type="paragraph" w:customStyle="1" w:styleId="ListABC2">
    <w:name w:val="List_ABC 2"/>
    <w:basedOn w:val="Normal"/>
    <w:semiHidden/>
    <w:rsid w:val="0050122D"/>
    <w:pPr>
      <w:numPr>
        <w:numId w:val="12"/>
      </w:numPr>
      <w:spacing w:after="240" w:line="360" w:lineRule="auto"/>
      <w:jc w:val="both"/>
    </w:pPr>
    <w:rPr>
      <w:rFonts w:ascii="Arial" w:eastAsia="Times New Roman" w:hAnsi="Arial" w:cs="Times New Roman"/>
      <w:kern w:val="0"/>
      <w:sz w:val="24"/>
      <w:szCs w:val="20"/>
      <w14:ligatures w14:val="none"/>
    </w:rPr>
  </w:style>
  <w:style w:type="paragraph" w:customStyle="1" w:styleId="TableboldCenter8small">
    <w:name w:val="Table_bold_Center_8_small"/>
    <w:basedOn w:val="Tableboldcentre"/>
    <w:link w:val="TableboldCenter8smallChar"/>
    <w:autoRedefine/>
    <w:qFormat/>
    <w:rsid w:val="0050122D"/>
    <w:rPr>
      <w:rFonts w:cs="Times New Roman"/>
      <w:sz w:val="16"/>
    </w:rPr>
  </w:style>
  <w:style w:type="paragraph" w:customStyle="1" w:styleId="NormalHeader">
    <w:name w:val="Normal_Header"/>
    <w:basedOn w:val="Normal"/>
    <w:next w:val="Normal"/>
    <w:autoRedefine/>
    <w:rsid w:val="0050122D"/>
    <w:pPr>
      <w:keepNext/>
      <w:spacing w:before="240" w:after="120" w:line="360" w:lineRule="auto"/>
    </w:pPr>
    <w:rPr>
      <w:rFonts w:ascii="Arial" w:eastAsia="Times New Roman" w:hAnsi="Arial" w:cs="Times New Roman"/>
      <w:b/>
      <w:kern w:val="0"/>
      <w:sz w:val="24"/>
      <w:szCs w:val="20"/>
      <w14:ligatures w14:val="none"/>
    </w:rPr>
  </w:style>
  <w:style w:type="paragraph" w:customStyle="1" w:styleId="CaptionBotTblFig">
    <w:name w:val="CaptionBot_Tbl_Fig"/>
    <w:basedOn w:val="Normal"/>
    <w:next w:val="Normal"/>
    <w:autoRedefine/>
    <w:rsid w:val="0050122D"/>
    <w:pPr>
      <w:spacing w:before="240" w:after="120" w:line="360" w:lineRule="auto"/>
      <w:ind w:left="1276" w:hanging="1276"/>
    </w:pPr>
    <w:rPr>
      <w:rFonts w:ascii="Arial" w:eastAsia="Times New Roman" w:hAnsi="Arial" w:cs="Arial"/>
      <w:b/>
      <w:kern w:val="0"/>
      <w:sz w:val="24"/>
      <w14:ligatures w14:val="none"/>
    </w:rPr>
  </w:style>
  <w:style w:type="numbering" w:styleId="111111">
    <w:name w:val="Outline List 2"/>
    <w:basedOn w:val="NoList"/>
    <w:semiHidden/>
    <w:rsid w:val="0050122D"/>
    <w:pPr>
      <w:numPr>
        <w:numId w:val="10"/>
      </w:numPr>
    </w:pPr>
  </w:style>
  <w:style w:type="numbering" w:styleId="1ai">
    <w:name w:val="Outline List 1"/>
    <w:basedOn w:val="NoList"/>
    <w:semiHidden/>
    <w:rsid w:val="0050122D"/>
    <w:pPr>
      <w:numPr>
        <w:numId w:val="9"/>
      </w:numPr>
    </w:pPr>
  </w:style>
  <w:style w:type="numbering" w:styleId="ArticleSection">
    <w:name w:val="Outline List 3"/>
    <w:basedOn w:val="NoList"/>
    <w:semiHidden/>
    <w:rsid w:val="0050122D"/>
    <w:pPr>
      <w:numPr>
        <w:numId w:val="11"/>
      </w:numPr>
    </w:pPr>
  </w:style>
  <w:style w:type="paragraph" w:styleId="BlockText">
    <w:name w:val="Block Text"/>
    <w:basedOn w:val="Normal"/>
    <w:semiHidden/>
    <w:rsid w:val="0050122D"/>
    <w:pPr>
      <w:spacing w:after="240" w:line="360" w:lineRule="auto"/>
      <w:ind w:left="1440" w:right="1440"/>
      <w:jc w:val="both"/>
    </w:pPr>
    <w:rPr>
      <w:rFonts w:ascii="Arial" w:eastAsia="Times New Roman" w:hAnsi="Arial" w:cs="Times New Roman"/>
      <w:kern w:val="0"/>
      <w:sz w:val="24"/>
      <w:szCs w:val="20"/>
      <w14:ligatures w14:val="none"/>
    </w:rPr>
  </w:style>
  <w:style w:type="paragraph" w:styleId="BodyText">
    <w:name w:val="Body Text"/>
    <w:basedOn w:val="Normal"/>
    <w:link w:val="BodyTextChar"/>
    <w:semiHidden/>
    <w:rsid w:val="0050122D"/>
    <w:pPr>
      <w:spacing w:after="240" w:line="360" w:lineRule="auto"/>
      <w:jc w:val="both"/>
    </w:pPr>
    <w:rPr>
      <w:rFonts w:ascii="Arial" w:eastAsia="Times New Roman" w:hAnsi="Arial" w:cs="Times New Roman"/>
      <w:kern w:val="0"/>
      <w:sz w:val="24"/>
      <w:szCs w:val="20"/>
      <w14:ligatures w14:val="none"/>
    </w:rPr>
  </w:style>
  <w:style w:type="character" w:customStyle="1" w:styleId="BodyTextChar">
    <w:name w:val="Body Text Char"/>
    <w:basedOn w:val="DefaultParagraphFont"/>
    <w:link w:val="BodyText"/>
    <w:semiHidden/>
    <w:rsid w:val="0050122D"/>
    <w:rPr>
      <w:rFonts w:ascii="Arial" w:eastAsia="Times New Roman" w:hAnsi="Arial" w:cs="Times New Roman"/>
      <w:kern w:val="0"/>
      <w:sz w:val="24"/>
      <w:szCs w:val="20"/>
      <w14:ligatures w14:val="none"/>
    </w:rPr>
  </w:style>
  <w:style w:type="paragraph" w:styleId="BodyText2">
    <w:name w:val="Body Text 2"/>
    <w:basedOn w:val="Normal"/>
    <w:link w:val="BodyText2Char"/>
    <w:semiHidden/>
    <w:rsid w:val="0050122D"/>
    <w:pPr>
      <w:spacing w:after="240" w:line="480" w:lineRule="auto"/>
      <w:jc w:val="both"/>
    </w:pPr>
    <w:rPr>
      <w:rFonts w:ascii="Arial" w:eastAsia="Times New Roman" w:hAnsi="Arial" w:cs="Times New Roman"/>
      <w:kern w:val="0"/>
      <w:sz w:val="24"/>
      <w:szCs w:val="20"/>
      <w14:ligatures w14:val="none"/>
    </w:rPr>
  </w:style>
  <w:style w:type="character" w:customStyle="1" w:styleId="BodyText2Char">
    <w:name w:val="Body Text 2 Char"/>
    <w:basedOn w:val="DefaultParagraphFont"/>
    <w:link w:val="BodyText2"/>
    <w:semiHidden/>
    <w:rsid w:val="0050122D"/>
    <w:rPr>
      <w:rFonts w:ascii="Arial" w:eastAsia="Times New Roman" w:hAnsi="Arial" w:cs="Times New Roman"/>
      <w:kern w:val="0"/>
      <w:sz w:val="24"/>
      <w:szCs w:val="20"/>
      <w14:ligatures w14:val="none"/>
    </w:rPr>
  </w:style>
  <w:style w:type="paragraph" w:styleId="BodyText3">
    <w:name w:val="Body Text 3"/>
    <w:basedOn w:val="Normal"/>
    <w:link w:val="BodyText3Char"/>
    <w:semiHidden/>
    <w:rsid w:val="0050122D"/>
    <w:pPr>
      <w:spacing w:after="240" w:line="360" w:lineRule="auto"/>
      <w:jc w:val="both"/>
    </w:pPr>
    <w:rPr>
      <w:rFonts w:ascii="Arial" w:eastAsia="Times New Roman" w:hAnsi="Arial" w:cs="Times New Roman"/>
      <w:kern w:val="0"/>
      <w:sz w:val="16"/>
      <w:szCs w:val="16"/>
      <w14:ligatures w14:val="none"/>
    </w:rPr>
  </w:style>
  <w:style w:type="character" w:customStyle="1" w:styleId="BodyText3Char">
    <w:name w:val="Body Text 3 Char"/>
    <w:basedOn w:val="DefaultParagraphFont"/>
    <w:link w:val="BodyText3"/>
    <w:semiHidden/>
    <w:rsid w:val="0050122D"/>
    <w:rPr>
      <w:rFonts w:ascii="Arial" w:eastAsia="Times New Roman" w:hAnsi="Arial" w:cs="Times New Roman"/>
      <w:kern w:val="0"/>
      <w:sz w:val="16"/>
      <w:szCs w:val="16"/>
      <w14:ligatures w14:val="none"/>
    </w:rPr>
  </w:style>
  <w:style w:type="paragraph" w:styleId="BodyTextFirstIndent">
    <w:name w:val="Body Text First Indent"/>
    <w:basedOn w:val="BodyText"/>
    <w:link w:val="BodyTextFirstIndentChar"/>
    <w:semiHidden/>
    <w:rsid w:val="0050122D"/>
    <w:pPr>
      <w:ind w:firstLine="210"/>
    </w:pPr>
  </w:style>
  <w:style w:type="character" w:customStyle="1" w:styleId="BodyTextFirstIndentChar">
    <w:name w:val="Body Text First Indent Char"/>
    <w:basedOn w:val="BodyTextChar"/>
    <w:link w:val="BodyTextFirstIndent"/>
    <w:semiHidden/>
    <w:rsid w:val="0050122D"/>
    <w:rPr>
      <w:rFonts w:ascii="Arial" w:eastAsia="Times New Roman" w:hAnsi="Arial" w:cs="Times New Roman"/>
      <w:kern w:val="0"/>
      <w:sz w:val="24"/>
      <w:szCs w:val="20"/>
      <w14:ligatures w14:val="none"/>
    </w:rPr>
  </w:style>
  <w:style w:type="paragraph" w:styleId="BodyTextIndent">
    <w:name w:val="Body Text Indent"/>
    <w:basedOn w:val="Normal"/>
    <w:link w:val="BodyTextIndentChar"/>
    <w:semiHidden/>
    <w:rsid w:val="0050122D"/>
    <w:pPr>
      <w:spacing w:after="240" w:line="360" w:lineRule="auto"/>
      <w:ind w:left="283"/>
      <w:jc w:val="both"/>
    </w:pPr>
    <w:rPr>
      <w:rFonts w:ascii="Arial" w:eastAsia="Times New Roman" w:hAnsi="Arial" w:cs="Times New Roman"/>
      <w:kern w:val="0"/>
      <w:sz w:val="24"/>
      <w:szCs w:val="20"/>
      <w14:ligatures w14:val="none"/>
    </w:rPr>
  </w:style>
  <w:style w:type="character" w:customStyle="1" w:styleId="BodyTextIndentChar">
    <w:name w:val="Body Text Indent Char"/>
    <w:basedOn w:val="DefaultParagraphFont"/>
    <w:link w:val="BodyTextIndent"/>
    <w:semiHidden/>
    <w:rsid w:val="0050122D"/>
    <w:rPr>
      <w:rFonts w:ascii="Arial" w:eastAsia="Times New Roman" w:hAnsi="Arial" w:cs="Times New Roman"/>
      <w:kern w:val="0"/>
      <w:sz w:val="24"/>
      <w:szCs w:val="20"/>
      <w14:ligatures w14:val="none"/>
    </w:rPr>
  </w:style>
  <w:style w:type="paragraph" w:styleId="BodyTextFirstIndent2">
    <w:name w:val="Body Text First Indent 2"/>
    <w:basedOn w:val="BodyTextIndent"/>
    <w:link w:val="BodyTextFirstIndent2Char"/>
    <w:semiHidden/>
    <w:rsid w:val="0050122D"/>
    <w:pPr>
      <w:ind w:firstLine="210"/>
    </w:pPr>
  </w:style>
  <w:style w:type="character" w:customStyle="1" w:styleId="BodyTextFirstIndent2Char">
    <w:name w:val="Body Text First Indent 2 Char"/>
    <w:basedOn w:val="BodyTextIndentChar"/>
    <w:link w:val="BodyTextFirstIndent2"/>
    <w:semiHidden/>
    <w:rsid w:val="0050122D"/>
    <w:rPr>
      <w:rFonts w:ascii="Arial" w:eastAsia="Times New Roman" w:hAnsi="Arial" w:cs="Times New Roman"/>
      <w:kern w:val="0"/>
      <w:sz w:val="24"/>
      <w:szCs w:val="20"/>
      <w14:ligatures w14:val="none"/>
    </w:rPr>
  </w:style>
  <w:style w:type="paragraph" w:styleId="BodyTextIndent2">
    <w:name w:val="Body Text Indent 2"/>
    <w:basedOn w:val="Normal"/>
    <w:link w:val="BodyTextIndent2Char"/>
    <w:semiHidden/>
    <w:rsid w:val="0050122D"/>
    <w:pPr>
      <w:spacing w:after="240" w:line="480" w:lineRule="auto"/>
      <w:ind w:left="283"/>
      <w:jc w:val="both"/>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50122D"/>
    <w:rPr>
      <w:rFonts w:ascii="Arial" w:eastAsia="Times New Roman" w:hAnsi="Arial" w:cs="Times New Roman"/>
      <w:kern w:val="0"/>
      <w:sz w:val="24"/>
      <w:szCs w:val="20"/>
      <w14:ligatures w14:val="none"/>
    </w:rPr>
  </w:style>
  <w:style w:type="paragraph" w:styleId="BodyTextIndent3">
    <w:name w:val="Body Text Indent 3"/>
    <w:basedOn w:val="Normal"/>
    <w:link w:val="BodyTextIndent3Char"/>
    <w:semiHidden/>
    <w:rsid w:val="0050122D"/>
    <w:pPr>
      <w:spacing w:after="240" w:line="360" w:lineRule="auto"/>
      <w:ind w:left="283"/>
      <w:jc w:val="both"/>
    </w:pPr>
    <w:rPr>
      <w:rFonts w:ascii="Arial" w:eastAsia="Times New Roman" w:hAnsi="Arial" w:cs="Times New Roman"/>
      <w:kern w:val="0"/>
      <w:sz w:val="16"/>
      <w:szCs w:val="16"/>
      <w14:ligatures w14:val="none"/>
    </w:rPr>
  </w:style>
  <w:style w:type="character" w:customStyle="1" w:styleId="BodyTextIndent3Char">
    <w:name w:val="Body Text Indent 3 Char"/>
    <w:basedOn w:val="DefaultParagraphFont"/>
    <w:link w:val="BodyTextIndent3"/>
    <w:semiHidden/>
    <w:rsid w:val="0050122D"/>
    <w:rPr>
      <w:rFonts w:ascii="Arial" w:eastAsia="Times New Roman" w:hAnsi="Arial" w:cs="Times New Roman"/>
      <w:kern w:val="0"/>
      <w:sz w:val="16"/>
      <w:szCs w:val="16"/>
      <w14:ligatures w14:val="none"/>
    </w:rPr>
  </w:style>
  <w:style w:type="paragraph" w:styleId="Closing">
    <w:name w:val="Closing"/>
    <w:basedOn w:val="Normal"/>
    <w:link w:val="ClosingChar"/>
    <w:semiHidden/>
    <w:rsid w:val="0050122D"/>
    <w:pPr>
      <w:spacing w:after="240" w:line="360" w:lineRule="auto"/>
      <w:ind w:left="4252"/>
      <w:jc w:val="both"/>
    </w:pPr>
    <w:rPr>
      <w:rFonts w:ascii="Arial" w:eastAsia="Times New Roman" w:hAnsi="Arial" w:cs="Times New Roman"/>
      <w:kern w:val="0"/>
      <w:sz w:val="24"/>
      <w:szCs w:val="20"/>
      <w14:ligatures w14:val="none"/>
    </w:rPr>
  </w:style>
  <w:style w:type="character" w:customStyle="1" w:styleId="ClosingChar">
    <w:name w:val="Closing Char"/>
    <w:basedOn w:val="DefaultParagraphFont"/>
    <w:link w:val="Closing"/>
    <w:semiHidden/>
    <w:rsid w:val="0050122D"/>
    <w:rPr>
      <w:rFonts w:ascii="Arial" w:eastAsia="Times New Roman" w:hAnsi="Arial" w:cs="Times New Roman"/>
      <w:kern w:val="0"/>
      <w:sz w:val="24"/>
      <w:szCs w:val="20"/>
      <w14:ligatures w14:val="none"/>
    </w:rPr>
  </w:style>
  <w:style w:type="paragraph" w:styleId="Date">
    <w:name w:val="Date"/>
    <w:basedOn w:val="Normal"/>
    <w:next w:val="Normal"/>
    <w:link w:val="DateChar"/>
    <w:semiHidden/>
    <w:rsid w:val="0050122D"/>
    <w:pPr>
      <w:spacing w:after="240" w:line="360" w:lineRule="auto"/>
      <w:jc w:val="both"/>
    </w:pPr>
    <w:rPr>
      <w:rFonts w:ascii="Arial" w:eastAsia="Times New Roman" w:hAnsi="Arial" w:cs="Times New Roman"/>
      <w:kern w:val="0"/>
      <w:sz w:val="24"/>
      <w:szCs w:val="20"/>
      <w14:ligatures w14:val="none"/>
    </w:rPr>
  </w:style>
  <w:style w:type="character" w:customStyle="1" w:styleId="DateChar">
    <w:name w:val="Date Char"/>
    <w:basedOn w:val="DefaultParagraphFont"/>
    <w:link w:val="Date"/>
    <w:semiHidden/>
    <w:rsid w:val="0050122D"/>
    <w:rPr>
      <w:rFonts w:ascii="Arial" w:eastAsia="Times New Roman" w:hAnsi="Arial" w:cs="Times New Roman"/>
      <w:kern w:val="0"/>
      <w:sz w:val="24"/>
      <w:szCs w:val="20"/>
      <w14:ligatures w14:val="none"/>
    </w:rPr>
  </w:style>
  <w:style w:type="paragraph" w:styleId="E-mailSignature">
    <w:name w:val="E-mail Signature"/>
    <w:basedOn w:val="Normal"/>
    <w:link w:val="E-mailSignatureChar"/>
    <w:semiHidden/>
    <w:rsid w:val="0050122D"/>
    <w:pPr>
      <w:spacing w:after="240" w:line="360" w:lineRule="auto"/>
      <w:jc w:val="both"/>
    </w:pPr>
    <w:rPr>
      <w:rFonts w:ascii="Arial" w:eastAsia="Times New Roman" w:hAnsi="Arial" w:cs="Times New Roman"/>
      <w:kern w:val="0"/>
      <w:sz w:val="24"/>
      <w:szCs w:val="20"/>
      <w14:ligatures w14:val="none"/>
    </w:rPr>
  </w:style>
  <w:style w:type="character" w:customStyle="1" w:styleId="E-mailSignatureChar">
    <w:name w:val="E-mail Signature Char"/>
    <w:basedOn w:val="DefaultParagraphFont"/>
    <w:link w:val="E-mailSignature"/>
    <w:semiHidden/>
    <w:rsid w:val="0050122D"/>
    <w:rPr>
      <w:rFonts w:ascii="Arial" w:eastAsia="Times New Roman" w:hAnsi="Arial" w:cs="Times New Roman"/>
      <w:kern w:val="0"/>
      <w:sz w:val="24"/>
      <w:szCs w:val="20"/>
      <w14:ligatures w14:val="none"/>
    </w:rPr>
  </w:style>
  <w:style w:type="paragraph" w:styleId="EnvelopeAddress">
    <w:name w:val="envelope address"/>
    <w:basedOn w:val="Normal"/>
    <w:semiHidden/>
    <w:rsid w:val="0050122D"/>
    <w:pPr>
      <w:framePr w:w="7920" w:h="1980" w:hRule="exact" w:hSpace="180" w:wrap="auto" w:hAnchor="page" w:xAlign="center" w:yAlign="bottom"/>
      <w:spacing w:after="240" w:line="360" w:lineRule="auto"/>
      <w:ind w:left="2880"/>
      <w:jc w:val="both"/>
    </w:pPr>
    <w:rPr>
      <w:rFonts w:ascii="Arial" w:eastAsia="Times New Roman" w:hAnsi="Arial" w:cs="Arial"/>
      <w:kern w:val="0"/>
      <w:sz w:val="24"/>
      <w:szCs w:val="24"/>
      <w14:ligatures w14:val="none"/>
    </w:rPr>
  </w:style>
  <w:style w:type="paragraph" w:styleId="EnvelopeReturn">
    <w:name w:val="envelope return"/>
    <w:basedOn w:val="Normal"/>
    <w:semiHidden/>
    <w:rsid w:val="0050122D"/>
    <w:pPr>
      <w:spacing w:after="240" w:line="360" w:lineRule="auto"/>
      <w:jc w:val="both"/>
    </w:pPr>
    <w:rPr>
      <w:rFonts w:ascii="Arial" w:eastAsia="Times New Roman" w:hAnsi="Arial" w:cs="Arial"/>
      <w:kern w:val="0"/>
      <w:sz w:val="24"/>
      <w:szCs w:val="20"/>
      <w14:ligatures w14:val="none"/>
    </w:rPr>
  </w:style>
  <w:style w:type="character" w:styleId="FollowedHyperlink">
    <w:name w:val="FollowedHyperlink"/>
    <w:basedOn w:val="DefaultParagraphFont"/>
    <w:semiHidden/>
    <w:rsid w:val="0050122D"/>
    <w:rPr>
      <w:color w:val="800080"/>
      <w:u w:val="single"/>
    </w:rPr>
  </w:style>
  <w:style w:type="character" w:styleId="HTMLAcronym">
    <w:name w:val="HTML Acronym"/>
    <w:basedOn w:val="DefaultParagraphFont"/>
    <w:semiHidden/>
    <w:rsid w:val="0050122D"/>
  </w:style>
  <w:style w:type="paragraph" w:styleId="HTMLAddress">
    <w:name w:val="HTML Address"/>
    <w:basedOn w:val="Normal"/>
    <w:link w:val="HTMLAddressChar"/>
    <w:semiHidden/>
    <w:rsid w:val="0050122D"/>
    <w:pPr>
      <w:spacing w:after="240" w:line="360" w:lineRule="auto"/>
      <w:jc w:val="both"/>
    </w:pPr>
    <w:rPr>
      <w:rFonts w:ascii="Arial" w:eastAsia="Times New Roman" w:hAnsi="Arial" w:cs="Times New Roman"/>
      <w:i/>
      <w:iCs/>
      <w:kern w:val="0"/>
      <w:sz w:val="24"/>
      <w:szCs w:val="20"/>
      <w14:ligatures w14:val="none"/>
    </w:rPr>
  </w:style>
  <w:style w:type="character" w:customStyle="1" w:styleId="HTMLAddressChar">
    <w:name w:val="HTML Address Char"/>
    <w:basedOn w:val="DefaultParagraphFont"/>
    <w:link w:val="HTMLAddress"/>
    <w:semiHidden/>
    <w:rsid w:val="0050122D"/>
    <w:rPr>
      <w:rFonts w:ascii="Arial" w:eastAsia="Times New Roman" w:hAnsi="Arial" w:cs="Times New Roman"/>
      <w:i/>
      <w:iCs/>
      <w:kern w:val="0"/>
      <w:sz w:val="24"/>
      <w:szCs w:val="20"/>
      <w14:ligatures w14:val="none"/>
    </w:rPr>
  </w:style>
  <w:style w:type="character" w:styleId="HTMLCite">
    <w:name w:val="HTML Cite"/>
    <w:basedOn w:val="DefaultParagraphFont"/>
    <w:semiHidden/>
    <w:rsid w:val="0050122D"/>
    <w:rPr>
      <w:i/>
      <w:iCs/>
    </w:rPr>
  </w:style>
  <w:style w:type="character" w:styleId="HTMLCode">
    <w:name w:val="HTML Code"/>
    <w:basedOn w:val="DefaultParagraphFont"/>
    <w:semiHidden/>
    <w:rsid w:val="0050122D"/>
    <w:rPr>
      <w:rFonts w:ascii="Courier New" w:hAnsi="Courier New" w:cs="Courier New"/>
      <w:sz w:val="20"/>
      <w:szCs w:val="20"/>
    </w:rPr>
  </w:style>
  <w:style w:type="character" w:styleId="HTMLDefinition">
    <w:name w:val="HTML Definition"/>
    <w:basedOn w:val="DefaultParagraphFont"/>
    <w:semiHidden/>
    <w:rsid w:val="0050122D"/>
    <w:rPr>
      <w:i/>
      <w:iCs/>
    </w:rPr>
  </w:style>
  <w:style w:type="character" w:styleId="HTMLKeyboard">
    <w:name w:val="HTML Keyboard"/>
    <w:basedOn w:val="DefaultParagraphFont"/>
    <w:semiHidden/>
    <w:rsid w:val="0050122D"/>
    <w:rPr>
      <w:rFonts w:ascii="Courier New" w:hAnsi="Courier New" w:cs="Courier New"/>
      <w:sz w:val="20"/>
      <w:szCs w:val="20"/>
    </w:rPr>
  </w:style>
  <w:style w:type="paragraph" w:styleId="HTMLPreformatted">
    <w:name w:val="HTML Preformatted"/>
    <w:basedOn w:val="Normal"/>
    <w:link w:val="HTMLPreformattedChar"/>
    <w:semiHidden/>
    <w:rsid w:val="0050122D"/>
    <w:pPr>
      <w:spacing w:after="240" w:line="360" w:lineRule="auto"/>
      <w:jc w:val="both"/>
    </w:pPr>
    <w:rPr>
      <w:rFonts w:ascii="Courier New" w:eastAsia="Times New Roman" w:hAnsi="Courier New" w:cs="Courier New"/>
      <w:kern w:val="0"/>
      <w:sz w:val="24"/>
      <w:szCs w:val="20"/>
      <w14:ligatures w14:val="none"/>
    </w:rPr>
  </w:style>
  <w:style w:type="character" w:customStyle="1" w:styleId="HTMLPreformattedChar">
    <w:name w:val="HTML Preformatted Char"/>
    <w:basedOn w:val="DefaultParagraphFont"/>
    <w:link w:val="HTMLPreformatted"/>
    <w:semiHidden/>
    <w:rsid w:val="0050122D"/>
    <w:rPr>
      <w:rFonts w:ascii="Courier New" w:eastAsia="Times New Roman" w:hAnsi="Courier New" w:cs="Courier New"/>
      <w:kern w:val="0"/>
      <w:sz w:val="24"/>
      <w:szCs w:val="20"/>
      <w14:ligatures w14:val="none"/>
    </w:rPr>
  </w:style>
  <w:style w:type="character" w:styleId="HTMLSample">
    <w:name w:val="HTML Sample"/>
    <w:basedOn w:val="DefaultParagraphFont"/>
    <w:semiHidden/>
    <w:rsid w:val="0050122D"/>
    <w:rPr>
      <w:rFonts w:ascii="Courier New" w:hAnsi="Courier New" w:cs="Courier New"/>
    </w:rPr>
  </w:style>
  <w:style w:type="character" w:styleId="HTMLTypewriter">
    <w:name w:val="HTML Typewriter"/>
    <w:basedOn w:val="DefaultParagraphFont"/>
    <w:semiHidden/>
    <w:rsid w:val="0050122D"/>
    <w:rPr>
      <w:rFonts w:ascii="Courier New" w:hAnsi="Courier New" w:cs="Courier New"/>
      <w:sz w:val="20"/>
      <w:szCs w:val="20"/>
    </w:rPr>
  </w:style>
  <w:style w:type="character" w:styleId="HTMLVariable">
    <w:name w:val="HTML Variable"/>
    <w:basedOn w:val="DefaultParagraphFont"/>
    <w:semiHidden/>
    <w:rsid w:val="0050122D"/>
    <w:rPr>
      <w:i/>
      <w:iCs/>
    </w:rPr>
  </w:style>
  <w:style w:type="character" w:styleId="LineNumber">
    <w:name w:val="line number"/>
    <w:basedOn w:val="DefaultParagraphFont"/>
    <w:semiHidden/>
    <w:rsid w:val="0050122D"/>
  </w:style>
  <w:style w:type="paragraph" w:styleId="List">
    <w:name w:val="List"/>
    <w:basedOn w:val="Normal"/>
    <w:semiHidden/>
    <w:rsid w:val="0050122D"/>
    <w:pPr>
      <w:spacing w:after="240" w:line="360" w:lineRule="auto"/>
      <w:ind w:left="283" w:hanging="283"/>
      <w:jc w:val="both"/>
    </w:pPr>
    <w:rPr>
      <w:rFonts w:ascii="Arial" w:eastAsia="Times New Roman" w:hAnsi="Arial" w:cs="Times New Roman"/>
      <w:kern w:val="0"/>
      <w:sz w:val="24"/>
      <w:szCs w:val="20"/>
      <w14:ligatures w14:val="none"/>
    </w:rPr>
  </w:style>
  <w:style w:type="paragraph" w:styleId="List2">
    <w:name w:val="List 2"/>
    <w:basedOn w:val="Normal"/>
    <w:semiHidden/>
    <w:rsid w:val="0050122D"/>
    <w:pPr>
      <w:spacing w:after="240" w:line="360" w:lineRule="auto"/>
      <w:ind w:left="566" w:hanging="283"/>
      <w:jc w:val="both"/>
    </w:pPr>
    <w:rPr>
      <w:rFonts w:ascii="Arial" w:eastAsia="Times New Roman" w:hAnsi="Arial" w:cs="Times New Roman"/>
      <w:kern w:val="0"/>
      <w:sz w:val="24"/>
      <w:szCs w:val="20"/>
      <w14:ligatures w14:val="none"/>
    </w:rPr>
  </w:style>
  <w:style w:type="paragraph" w:styleId="List3">
    <w:name w:val="List 3"/>
    <w:basedOn w:val="Normal"/>
    <w:semiHidden/>
    <w:rsid w:val="0050122D"/>
    <w:pPr>
      <w:spacing w:after="240" w:line="360" w:lineRule="auto"/>
      <w:ind w:left="849" w:hanging="283"/>
      <w:jc w:val="both"/>
    </w:pPr>
    <w:rPr>
      <w:rFonts w:ascii="Arial" w:eastAsia="Times New Roman" w:hAnsi="Arial" w:cs="Times New Roman"/>
      <w:kern w:val="0"/>
      <w:sz w:val="24"/>
      <w:szCs w:val="20"/>
      <w14:ligatures w14:val="none"/>
    </w:rPr>
  </w:style>
  <w:style w:type="paragraph" w:styleId="List4">
    <w:name w:val="List 4"/>
    <w:basedOn w:val="Normal"/>
    <w:semiHidden/>
    <w:rsid w:val="0050122D"/>
    <w:pPr>
      <w:spacing w:after="240" w:line="360" w:lineRule="auto"/>
      <w:ind w:left="1132" w:hanging="283"/>
      <w:jc w:val="both"/>
    </w:pPr>
    <w:rPr>
      <w:rFonts w:ascii="Arial" w:eastAsia="Times New Roman" w:hAnsi="Arial" w:cs="Times New Roman"/>
      <w:kern w:val="0"/>
      <w:sz w:val="24"/>
      <w:szCs w:val="20"/>
      <w14:ligatures w14:val="none"/>
    </w:rPr>
  </w:style>
  <w:style w:type="paragraph" w:styleId="List5">
    <w:name w:val="List 5"/>
    <w:basedOn w:val="Normal"/>
    <w:semiHidden/>
    <w:rsid w:val="0050122D"/>
    <w:pPr>
      <w:spacing w:after="240" w:line="360" w:lineRule="auto"/>
      <w:ind w:left="1415" w:hanging="283"/>
      <w:jc w:val="both"/>
    </w:pPr>
    <w:rPr>
      <w:rFonts w:ascii="Arial" w:eastAsia="Times New Roman" w:hAnsi="Arial" w:cs="Times New Roman"/>
      <w:kern w:val="0"/>
      <w:sz w:val="24"/>
      <w:szCs w:val="20"/>
      <w14:ligatures w14:val="none"/>
    </w:rPr>
  </w:style>
  <w:style w:type="paragraph" w:styleId="ListBullet">
    <w:name w:val="List Bullet"/>
    <w:basedOn w:val="Normal"/>
    <w:link w:val="ListBulletChar"/>
    <w:autoRedefine/>
    <w:rsid w:val="0050122D"/>
    <w:pPr>
      <w:numPr>
        <w:numId w:val="20"/>
      </w:numPr>
      <w:spacing w:after="240" w:line="360" w:lineRule="auto"/>
      <w:jc w:val="both"/>
    </w:pPr>
    <w:rPr>
      <w:rFonts w:ascii="Arial" w:eastAsia="Times New Roman" w:hAnsi="Arial" w:cs="Times New Roman"/>
      <w:kern w:val="0"/>
      <w:sz w:val="24"/>
      <w:szCs w:val="20"/>
      <w14:ligatures w14:val="none"/>
    </w:rPr>
  </w:style>
  <w:style w:type="paragraph" w:styleId="ListBullet2">
    <w:name w:val="List Bullet 2"/>
    <w:basedOn w:val="Normal"/>
    <w:semiHidden/>
    <w:rsid w:val="0050122D"/>
    <w:pPr>
      <w:numPr>
        <w:numId w:val="4"/>
      </w:numPr>
      <w:spacing w:after="240" w:line="360" w:lineRule="auto"/>
      <w:contextualSpacing/>
      <w:jc w:val="both"/>
    </w:pPr>
    <w:rPr>
      <w:rFonts w:ascii="Arial" w:eastAsia="Times New Roman" w:hAnsi="Arial" w:cs="Times New Roman"/>
      <w:kern w:val="0"/>
      <w:sz w:val="24"/>
      <w:szCs w:val="20"/>
      <w14:ligatures w14:val="none"/>
    </w:rPr>
  </w:style>
  <w:style w:type="paragraph" w:styleId="ListBullet3">
    <w:name w:val="List Bullet 3"/>
    <w:basedOn w:val="Normal"/>
    <w:semiHidden/>
    <w:rsid w:val="0050122D"/>
    <w:pPr>
      <w:numPr>
        <w:numId w:val="5"/>
      </w:numPr>
      <w:spacing w:after="240" w:line="360" w:lineRule="auto"/>
      <w:contextualSpacing/>
      <w:jc w:val="both"/>
    </w:pPr>
    <w:rPr>
      <w:rFonts w:ascii="Arial" w:eastAsia="Times New Roman" w:hAnsi="Arial" w:cs="Times New Roman"/>
      <w:kern w:val="0"/>
      <w:sz w:val="24"/>
      <w:szCs w:val="20"/>
      <w14:ligatures w14:val="none"/>
    </w:rPr>
  </w:style>
  <w:style w:type="paragraph" w:styleId="ListBullet4">
    <w:name w:val="List Bullet 4"/>
    <w:basedOn w:val="Normal"/>
    <w:semiHidden/>
    <w:rsid w:val="0050122D"/>
    <w:pPr>
      <w:numPr>
        <w:numId w:val="6"/>
      </w:numPr>
      <w:spacing w:after="240" w:line="360" w:lineRule="auto"/>
      <w:contextualSpacing/>
      <w:jc w:val="both"/>
    </w:pPr>
    <w:rPr>
      <w:rFonts w:ascii="Arial" w:eastAsia="Times New Roman" w:hAnsi="Arial" w:cs="Times New Roman"/>
      <w:kern w:val="0"/>
      <w:sz w:val="24"/>
      <w:szCs w:val="20"/>
      <w14:ligatures w14:val="none"/>
    </w:rPr>
  </w:style>
  <w:style w:type="paragraph" w:styleId="ListBullet5">
    <w:name w:val="List Bullet 5"/>
    <w:basedOn w:val="Normal"/>
    <w:semiHidden/>
    <w:rsid w:val="0050122D"/>
    <w:pPr>
      <w:numPr>
        <w:numId w:val="7"/>
      </w:numPr>
      <w:spacing w:after="240" w:line="360" w:lineRule="auto"/>
      <w:contextualSpacing/>
      <w:jc w:val="both"/>
    </w:pPr>
    <w:rPr>
      <w:rFonts w:ascii="Arial" w:eastAsia="Times New Roman" w:hAnsi="Arial" w:cs="Times New Roman"/>
      <w:kern w:val="0"/>
      <w:sz w:val="24"/>
      <w:szCs w:val="20"/>
      <w14:ligatures w14:val="none"/>
    </w:rPr>
  </w:style>
  <w:style w:type="paragraph" w:styleId="ListContinue">
    <w:name w:val="List Continue"/>
    <w:basedOn w:val="Normal"/>
    <w:semiHidden/>
    <w:rsid w:val="0050122D"/>
    <w:pPr>
      <w:spacing w:after="240" w:line="360" w:lineRule="auto"/>
      <w:ind w:left="567"/>
      <w:jc w:val="both"/>
    </w:pPr>
    <w:rPr>
      <w:rFonts w:ascii="Arial" w:eastAsia="Times New Roman" w:hAnsi="Arial" w:cs="Times New Roman"/>
      <w:kern w:val="0"/>
      <w:sz w:val="24"/>
      <w:szCs w:val="20"/>
      <w14:ligatures w14:val="none"/>
    </w:rPr>
  </w:style>
  <w:style w:type="paragraph" w:styleId="ListNumber0">
    <w:name w:val="List Number"/>
    <w:basedOn w:val="Normal"/>
    <w:semiHidden/>
    <w:rsid w:val="0050122D"/>
    <w:pPr>
      <w:tabs>
        <w:tab w:val="left" w:pos="567"/>
      </w:tabs>
      <w:spacing w:after="240" w:line="360" w:lineRule="auto"/>
      <w:ind w:left="567" w:hanging="567"/>
      <w:jc w:val="both"/>
    </w:pPr>
    <w:rPr>
      <w:rFonts w:ascii="Arial" w:eastAsia="Times New Roman" w:hAnsi="Arial" w:cs="Times New Roman"/>
      <w:kern w:val="0"/>
      <w:sz w:val="24"/>
      <w:szCs w:val="20"/>
      <w14:ligatures w14:val="none"/>
    </w:rPr>
  </w:style>
  <w:style w:type="paragraph" w:styleId="ListNumber2">
    <w:name w:val="List Number 2"/>
    <w:basedOn w:val="Normal"/>
    <w:semiHidden/>
    <w:rsid w:val="0050122D"/>
    <w:pPr>
      <w:numPr>
        <w:numId w:val="8"/>
      </w:numPr>
      <w:spacing w:after="240" w:line="360" w:lineRule="auto"/>
      <w:contextualSpacing/>
      <w:jc w:val="both"/>
    </w:pPr>
    <w:rPr>
      <w:rFonts w:ascii="Arial" w:eastAsia="Times New Roman" w:hAnsi="Arial" w:cs="Times New Roman"/>
      <w:kern w:val="0"/>
      <w:sz w:val="24"/>
      <w:szCs w:val="20"/>
      <w14:ligatures w14:val="none"/>
    </w:rPr>
  </w:style>
  <w:style w:type="paragraph" w:styleId="MessageHeader">
    <w:name w:val="Message Header"/>
    <w:basedOn w:val="Normal"/>
    <w:link w:val="MessageHeaderChar"/>
    <w:semiHidden/>
    <w:rsid w:val="0050122D"/>
    <w:pPr>
      <w:pBdr>
        <w:top w:val="single" w:sz="6" w:space="1" w:color="auto"/>
        <w:left w:val="single" w:sz="6" w:space="1" w:color="auto"/>
        <w:bottom w:val="single" w:sz="6" w:space="1" w:color="auto"/>
        <w:right w:val="single" w:sz="6" w:space="1" w:color="auto"/>
      </w:pBdr>
      <w:shd w:val="pct20" w:color="auto" w:fill="auto"/>
      <w:spacing w:after="240" w:line="360" w:lineRule="auto"/>
      <w:ind w:left="1134" w:hanging="1134"/>
      <w:jc w:val="both"/>
    </w:pPr>
    <w:rPr>
      <w:rFonts w:ascii="Arial" w:eastAsia="Times New Roman" w:hAnsi="Arial" w:cs="Arial"/>
      <w:kern w:val="0"/>
      <w:sz w:val="24"/>
      <w:szCs w:val="24"/>
      <w14:ligatures w14:val="none"/>
    </w:rPr>
  </w:style>
  <w:style w:type="character" w:customStyle="1" w:styleId="MessageHeaderChar">
    <w:name w:val="Message Header Char"/>
    <w:basedOn w:val="DefaultParagraphFont"/>
    <w:link w:val="MessageHeader"/>
    <w:semiHidden/>
    <w:rsid w:val="0050122D"/>
    <w:rPr>
      <w:rFonts w:ascii="Arial" w:eastAsia="Times New Roman" w:hAnsi="Arial" w:cs="Arial"/>
      <w:kern w:val="0"/>
      <w:sz w:val="24"/>
      <w:szCs w:val="24"/>
      <w:shd w:val="pct20" w:color="auto" w:fill="auto"/>
      <w14:ligatures w14:val="none"/>
    </w:rPr>
  </w:style>
  <w:style w:type="paragraph" w:styleId="NormalWeb">
    <w:name w:val="Normal (Web)"/>
    <w:basedOn w:val="Normal"/>
    <w:uiPriority w:val="99"/>
    <w:semiHidden/>
    <w:rsid w:val="0050122D"/>
    <w:pPr>
      <w:spacing w:after="240" w:line="360" w:lineRule="auto"/>
      <w:jc w:val="both"/>
    </w:pPr>
    <w:rPr>
      <w:rFonts w:ascii="Times New Roman" w:eastAsia="Times New Roman" w:hAnsi="Times New Roman" w:cs="Times New Roman"/>
      <w:kern w:val="0"/>
      <w:sz w:val="24"/>
      <w:szCs w:val="24"/>
      <w14:ligatures w14:val="none"/>
    </w:rPr>
  </w:style>
  <w:style w:type="paragraph" w:styleId="TOC2">
    <w:name w:val="toc 2"/>
    <w:basedOn w:val="Normal"/>
    <w:next w:val="Normal"/>
    <w:autoRedefine/>
    <w:uiPriority w:val="39"/>
    <w:rsid w:val="0050122D"/>
    <w:pPr>
      <w:keepNext/>
      <w:tabs>
        <w:tab w:val="left" w:pos="0"/>
        <w:tab w:val="right" w:leader="dot" w:pos="9299"/>
      </w:tabs>
      <w:spacing w:before="120" w:after="0" w:line="360" w:lineRule="auto"/>
      <w:ind w:right="567"/>
    </w:pPr>
    <w:rPr>
      <w:rFonts w:ascii="Arial" w:eastAsia="Times New Roman" w:hAnsi="Arial" w:cs="Times New Roman"/>
      <w:b/>
      <w:kern w:val="0"/>
      <w:sz w:val="24"/>
      <w:szCs w:val="20"/>
      <w14:ligatures w14:val="none"/>
    </w:rPr>
  </w:style>
  <w:style w:type="paragraph" w:styleId="NoteHeading">
    <w:name w:val="Note Heading"/>
    <w:basedOn w:val="Normal"/>
    <w:next w:val="Normal"/>
    <w:link w:val="NoteHeadingChar"/>
    <w:semiHidden/>
    <w:rsid w:val="0050122D"/>
    <w:pPr>
      <w:spacing w:after="240" w:line="360" w:lineRule="auto"/>
      <w:jc w:val="both"/>
    </w:pPr>
    <w:rPr>
      <w:rFonts w:ascii="Arial" w:eastAsia="Times New Roman" w:hAnsi="Arial" w:cs="Times New Roman"/>
      <w:kern w:val="0"/>
      <w:sz w:val="24"/>
      <w:szCs w:val="20"/>
      <w14:ligatures w14:val="none"/>
    </w:rPr>
  </w:style>
  <w:style w:type="character" w:customStyle="1" w:styleId="NoteHeadingChar">
    <w:name w:val="Note Heading Char"/>
    <w:basedOn w:val="DefaultParagraphFont"/>
    <w:link w:val="NoteHeading"/>
    <w:semiHidden/>
    <w:rsid w:val="0050122D"/>
    <w:rPr>
      <w:rFonts w:ascii="Arial" w:eastAsia="Times New Roman" w:hAnsi="Arial" w:cs="Times New Roman"/>
      <w:kern w:val="0"/>
      <w:sz w:val="24"/>
      <w:szCs w:val="20"/>
      <w14:ligatures w14:val="none"/>
    </w:rPr>
  </w:style>
  <w:style w:type="paragraph" w:styleId="PlainText">
    <w:name w:val="Plain Text"/>
    <w:basedOn w:val="Normal"/>
    <w:link w:val="PlainTextChar"/>
    <w:semiHidden/>
    <w:rsid w:val="0050122D"/>
    <w:pPr>
      <w:spacing w:after="240" w:line="360" w:lineRule="auto"/>
      <w:jc w:val="both"/>
    </w:pPr>
    <w:rPr>
      <w:rFonts w:ascii="Courier New" w:eastAsia="Times New Roman" w:hAnsi="Courier New" w:cs="Courier New"/>
      <w:kern w:val="0"/>
      <w:sz w:val="24"/>
      <w:szCs w:val="20"/>
      <w14:ligatures w14:val="none"/>
    </w:rPr>
  </w:style>
  <w:style w:type="character" w:customStyle="1" w:styleId="PlainTextChar">
    <w:name w:val="Plain Text Char"/>
    <w:basedOn w:val="DefaultParagraphFont"/>
    <w:link w:val="PlainText"/>
    <w:semiHidden/>
    <w:rsid w:val="0050122D"/>
    <w:rPr>
      <w:rFonts w:ascii="Courier New" w:eastAsia="Times New Roman" w:hAnsi="Courier New" w:cs="Courier New"/>
      <w:kern w:val="0"/>
      <w:sz w:val="24"/>
      <w:szCs w:val="20"/>
      <w14:ligatures w14:val="none"/>
    </w:rPr>
  </w:style>
  <w:style w:type="paragraph" w:styleId="Salutation">
    <w:name w:val="Salutation"/>
    <w:basedOn w:val="Normal"/>
    <w:next w:val="Normal"/>
    <w:link w:val="SalutationChar"/>
    <w:semiHidden/>
    <w:rsid w:val="0050122D"/>
    <w:pPr>
      <w:spacing w:after="240" w:line="360" w:lineRule="auto"/>
      <w:jc w:val="both"/>
    </w:pPr>
    <w:rPr>
      <w:rFonts w:ascii="Arial" w:eastAsia="Times New Roman" w:hAnsi="Arial" w:cs="Times New Roman"/>
      <w:kern w:val="0"/>
      <w:sz w:val="24"/>
      <w:szCs w:val="20"/>
      <w14:ligatures w14:val="none"/>
    </w:rPr>
  </w:style>
  <w:style w:type="character" w:customStyle="1" w:styleId="SalutationChar">
    <w:name w:val="Salutation Char"/>
    <w:basedOn w:val="DefaultParagraphFont"/>
    <w:link w:val="Salutation"/>
    <w:semiHidden/>
    <w:rsid w:val="0050122D"/>
    <w:rPr>
      <w:rFonts w:ascii="Arial" w:eastAsia="Times New Roman" w:hAnsi="Arial" w:cs="Times New Roman"/>
      <w:kern w:val="0"/>
      <w:sz w:val="24"/>
      <w:szCs w:val="20"/>
      <w14:ligatures w14:val="none"/>
    </w:rPr>
  </w:style>
  <w:style w:type="paragraph" w:styleId="Signature">
    <w:name w:val="Signature"/>
    <w:basedOn w:val="Normal"/>
    <w:link w:val="SignatureChar"/>
    <w:semiHidden/>
    <w:rsid w:val="0050122D"/>
    <w:pPr>
      <w:spacing w:after="240" w:line="360" w:lineRule="auto"/>
      <w:ind w:left="4252"/>
      <w:jc w:val="both"/>
    </w:pPr>
    <w:rPr>
      <w:rFonts w:ascii="Arial" w:eastAsia="Times New Roman" w:hAnsi="Arial" w:cs="Times New Roman"/>
      <w:kern w:val="0"/>
      <w:sz w:val="24"/>
      <w:szCs w:val="20"/>
      <w14:ligatures w14:val="none"/>
    </w:rPr>
  </w:style>
  <w:style w:type="character" w:customStyle="1" w:styleId="SignatureChar">
    <w:name w:val="Signature Char"/>
    <w:basedOn w:val="DefaultParagraphFont"/>
    <w:link w:val="Signature"/>
    <w:semiHidden/>
    <w:rsid w:val="0050122D"/>
    <w:rPr>
      <w:rFonts w:ascii="Arial" w:eastAsia="Times New Roman" w:hAnsi="Arial" w:cs="Times New Roman"/>
      <w:kern w:val="0"/>
      <w:sz w:val="24"/>
      <w:szCs w:val="20"/>
      <w14:ligatures w14:val="none"/>
    </w:rPr>
  </w:style>
  <w:style w:type="character" w:styleId="Strong">
    <w:name w:val="Strong"/>
    <w:basedOn w:val="DefaultParagraphFont"/>
    <w:uiPriority w:val="22"/>
    <w:qFormat/>
    <w:rsid w:val="0050122D"/>
    <w:rPr>
      <w:b/>
      <w:bCs/>
    </w:rPr>
  </w:style>
  <w:style w:type="table" w:styleId="Table3Deffects1">
    <w:name w:val="Table 3D effects 1"/>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122D"/>
    <w:pPr>
      <w:spacing w:after="120" w:line="240" w:lineRule="auto"/>
      <w:jc w:val="both"/>
    </w:pPr>
    <w:rPr>
      <w:rFonts w:ascii="Times New Roman" w:eastAsia="Times New Roman" w:hAnsi="Times New Roman" w:cs="Times New Roman"/>
      <w:color w:val="000080"/>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122D"/>
    <w:pPr>
      <w:spacing w:after="120" w:line="240" w:lineRule="auto"/>
      <w:jc w:val="both"/>
    </w:pPr>
    <w:rPr>
      <w:rFonts w:ascii="Times New Roman" w:eastAsia="Times New Roman" w:hAnsi="Times New Roman" w:cs="Times New Roman"/>
      <w:color w:val="FFFFFF"/>
      <w:kern w:val="0"/>
      <w:sz w:val="20"/>
      <w:szCs w:val="20"/>
      <w:lang w:eastAsia="en-ZA"/>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122D"/>
    <w:pPr>
      <w:spacing w:after="120" w:line="240" w:lineRule="auto"/>
      <w:jc w:val="both"/>
    </w:pPr>
    <w:rPr>
      <w:rFonts w:ascii="Times New Roman" w:eastAsia="Times New Roman" w:hAnsi="Times New Roman" w:cs="Times New Roman"/>
      <w:b/>
      <w:bCs/>
      <w:kern w:val="0"/>
      <w:sz w:val="20"/>
      <w:szCs w:val="20"/>
      <w:lang w:eastAsia="en-ZA"/>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122D"/>
    <w:pPr>
      <w:spacing w:after="120" w:line="240" w:lineRule="auto"/>
      <w:jc w:val="both"/>
    </w:pPr>
    <w:rPr>
      <w:rFonts w:ascii="Times New Roman" w:eastAsia="Times New Roman" w:hAnsi="Times New Roman" w:cs="Times New Roman"/>
      <w:b/>
      <w:bCs/>
      <w:kern w:val="0"/>
      <w:sz w:val="20"/>
      <w:szCs w:val="20"/>
      <w:lang w:eastAsia="en-ZA"/>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122D"/>
    <w:pPr>
      <w:spacing w:after="120" w:line="240" w:lineRule="auto"/>
      <w:jc w:val="both"/>
    </w:pPr>
    <w:rPr>
      <w:rFonts w:ascii="Times New Roman" w:eastAsia="Times New Roman" w:hAnsi="Times New Roman" w:cs="Times New Roman"/>
      <w:b/>
      <w:bCs/>
      <w:kern w:val="0"/>
      <w:sz w:val="20"/>
      <w:szCs w:val="20"/>
      <w:lang w:eastAsia="en-ZA"/>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122D"/>
    <w:pPr>
      <w:spacing w:after="120" w:line="240" w:lineRule="auto"/>
      <w:jc w:val="both"/>
    </w:pPr>
    <w:rPr>
      <w:rFonts w:ascii="Times New Roman" w:eastAsia="Times New Roman" w:hAnsi="Times New Roman" w:cs="Times New Roman"/>
      <w:b/>
      <w:bCs/>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rsid w:val="0050122D"/>
    <w:pPr>
      <w:tabs>
        <w:tab w:val="left" w:pos="1418"/>
        <w:tab w:val="right" w:leader="dot" w:pos="9299"/>
      </w:tabs>
      <w:spacing w:after="0" w:line="360" w:lineRule="auto"/>
      <w:ind w:left="964" w:right="567" w:hanging="964"/>
    </w:pPr>
    <w:rPr>
      <w:rFonts w:ascii="Arial" w:eastAsia="Times New Roman" w:hAnsi="Arial" w:cs="Times New Roman"/>
      <w:kern w:val="0"/>
      <w:sz w:val="24"/>
      <w:szCs w:val="20"/>
      <w14:ligatures w14:val="none"/>
    </w:rPr>
  </w:style>
  <w:style w:type="paragraph" w:styleId="TOC4">
    <w:name w:val="toc 4"/>
    <w:basedOn w:val="Normal"/>
    <w:next w:val="Normal"/>
    <w:autoRedefine/>
    <w:uiPriority w:val="39"/>
    <w:rsid w:val="0050122D"/>
    <w:pPr>
      <w:tabs>
        <w:tab w:val="right" w:leader="dot" w:pos="9299"/>
      </w:tabs>
      <w:spacing w:after="0" w:line="336" w:lineRule="auto"/>
      <w:ind w:left="964" w:right="567" w:hanging="964"/>
    </w:pPr>
    <w:rPr>
      <w:rFonts w:ascii="Arial" w:eastAsia="Times New Roman" w:hAnsi="Arial" w:cs="Times New Roman"/>
      <w:kern w:val="0"/>
      <w:sz w:val="24"/>
      <w:szCs w:val="20"/>
      <w14:ligatures w14:val="none"/>
    </w:rPr>
  </w:style>
  <w:style w:type="paragraph" w:styleId="TOC5">
    <w:name w:val="toc 5"/>
    <w:basedOn w:val="Normal"/>
    <w:next w:val="Normal"/>
    <w:autoRedefine/>
    <w:uiPriority w:val="39"/>
    <w:rsid w:val="0050122D"/>
    <w:pPr>
      <w:tabs>
        <w:tab w:val="right" w:leader="dot" w:pos="9299"/>
      </w:tabs>
      <w:spacing w:after="0" w:line="360" w:lineRule="auto"/>
      <w:ind w:left="964" w:right="567" w:hanging="964"/>
    </w:pPr>
    <w:rPr>
      <w:rFonts w:ascii="Arial" w:eastAsia="Times New Roman" w:hAnsi="Arial" w:cs="Times New Roman"/>
      <w:kern w:val="0"/>
      <w:sz w:val="24"/>
      <w:szCs w:val="20"/>
      <w14:ligatures w14:val="none"/>
    </w:rPr>
  </w:style>
  <w:style w:type="paragraph" w:styleId="TOC6">
    <w:name w:val="toc 6"/>
    <w:basedOn w:val="Normal"/>
    <w:next w:val="Normal"/>
    <w:autoRedefine/>
    <w:uiPriority w:val="39"/>
    <w:rsid w:val="0050122D"/>
    <w:pPr>
      <w:tabs>
        <w:tab w:val="right" w:leader="dot" w:pos="9299"/>
      </w:tabs>
      <w:spacing w:after="240" w:line="360" w:lineRule="auto"/>
      <w:ind w:left="1418" w:right="567" w:hanging="1418"/>
      <w:jc w:val="both"/>
    </w:pPr>
    <w:rPr>
      <w:rFonts w:ascii="Arial" w:eastAsia="Times New Roman" w:hAnsi="Arial" w:cs="Times New Roman"/>
      <w:kern w:val="0"/>
      <w:sz w:val="24"/>
      <w:szCs w:val="20"/>
      <w14:ligatures w14:val="none"/>
    </w:rPr>
  </w:style>
  <w:style w:type="paragraph" w:styleId="TOC7">
    <w:name w:val="toc 7"/>
    <w:basedOn w:val="Normal"/>
    <w:next w:val="Normal"/>
    <w:autoRedefine/>
    <w:uiPriority w:val="39"/>
    <w:rsid w:val="0050122D"/>
    <w:pPr>
      <w:tabs>
        <w:tab w:val="right" w:leader="dot" w:pos="9299"/>
      </w:tabs>
      <w:spacing w:after="240" w:line="360" w:lineRule="auto"/>
      <w:ind w:left="1202" w:right="567" w:hanging="1202"/>
      <w:jc w:val="both"/>
    </w:pPr>
    <w:rPr>
      <w:rFonts w:ascii="Arial" w:eastAsia="Times New Roman" w:hAnsi="Arial" w:cs="Times New Roman"/>
      <w:kern w:val="0"/>
      <w:sz w:val="24"/>
      <w:szCs w:val="20"/>
      <w14:ligatures w14:val="none"/>
    </w:rPr>
  </w:style>
  <w:style w:type="paragraph" w:styleId="TOC8">
    <w:name w:val="toc 8"/>
    <w:basedOn w:val="TOC9"/>
    <w:next w:val="Normal"/>
    <w:autoRedefine/>
    <w:uiPriority w:val="39"/>
    <w:rsid w:val="0050122D"/>
    <w:pPr>
      <w:spacing w:before="0"/>
    </w:pPr>
  </w:style>
  <w:style w:type="paragraph" w:styleId="TOC9">
    <w:name w:val="toc 9"/>
    <w:basedOn w:val="Normal"/>
    <w:next w:val="Normal"/>
    <w:autoRedefine/>
    <w:uiPriority w:val="39"/>
    <w:rsid w:val="0050122D"/>
    <w:pPr>
      <w:tabs>
        <w:tab w:val="right" w:leader="dot" w:pos="9299"/>
      </w:tabs>
      <w:spacing w:before="480" w:after="120" w:line="360" w:lineRule="auto"/>
      <w:ind w:right="567"/>
    </w:pPr>
    <w:rPr>
      <w:rFonts w:ascii="Arial Bold" w:eastAsia="Times New Roman" w:hAnsi="Arial Bold" w:cs="Times New Roman"/>
      <w:b/>
      <w:caps/>
      <w:kern w:val="0"/>
      <w:sz w:val="24"/>
      <w:szCs w:val="20"/>
      <w14:ligatures w14:val="none"/>
    </w:rPr>
  </w:style>
  <w:style w:type="paragraph" w:customStyle="1" w:styleId="CaptionTopTblFig">
    <w:name w:val="CaptionTop_Tbl_Fig"/>
    <w:basedOn w:val="Normal"/>
    <w:next w:val="Normal"/>
    <w:autoRedefine/>
    <w:rsid w:val="0050122D"/>
    <w:pPr>
      <w:keepNext/>
      <w:spacing w:before="240" w:after="120" w:line="360" w:lineRule="auto"/>
      <w:ind w:left="1276" w:hanging="1276"/>
    </w:pPr>
    <w:rPr>
      <w:rFonts w:ascii="Arial" w:eastAsia="Times New Roman" w:hAnsi="Arial" w:cs="Times New Roman"/>
      <w:b/>
      <w:kern w:val="0"/>
      <w:sz w:val="24"/>
      <w:szCs w:val="20"/>
      <w14:ligatures w14:val="none"/>
    </w:rPr>
  </w:style>
  <w:style w:type="paragraph" w:customStyle="1" w:styleId="TableofFigures1">
    <w:name w:val="Table of Figures1"/>
    <w:basedOn w:val="Normal"/>
    <w:next w:val="Normal"/>
    <w:autoRedefine/>
    <w:uiPriority w:val="99"/>
    <w:rsid w:val="0050122D"/>
    <w:pPr>
      <w:tabs>
        <w:tab w:val="right" w:leader="dot" w:pos="9345"/>
      </w:tabs>
      <w:spacing w:after="120" w:line="360" w:lineRule="auto"/>
      <w:ind w:right="567"/>
    </w:pPr>
    <w:rPr>
      <w:rFonts w:ascii="Arial" w:eastAsia="Times New Roman" w:hAnsi="Arial" w:cs="Calibri"/>
      <w:iCs/>
      <w:noProof/>
      <w:kern w:val="0"/>
      <w:sz w:val="24"/>
      <w:szCs w:val="20"/>
      <w14:ligatures w14:val="none"/>
    </w:rPr>
  </w:style>
  <w:style w:type="paragraph" w:customStyle="1" w:styleId="ListNumberRoman">
    <w:name w:val="List Number Roman"/>
    <w:basedOn w:val="Normal"/>
    <w:semiHidden/>
    <w:qFormat/>
    <w:rsid w:val="0050122D"/>
    <w:pPr>
      <w:numPr>
        <w:numId w:val="13"/>
      </w:numPr>
      <w:spacing w:after="240" w:line="360" w:lineRule="auto"/>
      <w:jc w:val="both"/>
    </w:pPr>
    <w:rPr>
      <w:rFonts w:ascii="Arial" w:eastAsia="Times New Roman" w:hAnsi="Arial" w:cs="Times New Roman"/>
      <w:kern w:val="0"/>
      <w:sz w:val="24"/>
      <w:szCs w:val="20"/>
      <w14:ligatures w14:val="none"/>
    </w:rPr>
  </w:style>
  <w:style w:type="paragraph" w:customStyle="1" w:styleId="ListNumberAlfabet">
    <w:name w:val="List Number Alfabet"/>
    <w:basedOn w:val="Normal"/>
    <w:semiHidden/>
    <w:qFormat/>
    <w:rsid w:val="0050122D"/>
    <w:pPr>
      <w:numPr>
        <w:numId w:val="14"/>
      </w:numPr>
      <w:spacing w:after="240" w:line="360" w:lineRule="auto"/>
      <w:jc w:val="both"/>
    </w:pPr>
    <w:rPr>
      <w:rFonts w:ascii="Arial" w:eastAsia="Times New Roman" w:hAnsi="Arial" w:cs="Times New Roman"/>
      <w:kern w:val="0"/>
      <w:sz w:val="24"/>
      <w:szCs w:val="20"/>
      <w14:ligatures w14:val="none"/>
    </w:rPr>
  </w:style>
  <w:style w:type="paragraph" w:customStyle="1" w:styleId="ListNumberRomanBrackets">
    <w:name w:val="List_Number_Roman_Brackets"/>
    <w:basedOn w:val="Normal"/>
    <w:qFormat/>
    <w:rsid w:val="0050122D"/>
    <w:pPr>
      <w:numPr>
        <w:numId w:val="15"/>
      </w:numPr>
      <w:spacing w:after="120" w:line="360" w:lineRule="auto"/>
      <w:jc w:val="both"/>
    </w:pPr>
    <w:rPr>
      <w:rFonts w:ascii="Arial" w:eastAsia="Times New Roman" w:hAnsi="Arial" w:cs="Times New Roman"/>
      <w:noProof/>
      <w:kern w:val="0"/>
      <w:sz w:val="24"/>
      <w:szCs w:val="20"/>
      <w:lang w:val="af-ZA" w:eastAsia="en-ZA"/>
      <w14:ligatures w14:val="none"/>
    </w:rPr>
  </w:style>
  <w:style w:type="paragraph" w:customStyle="1" w:styleId="ListNumberAlfabet0">
    <w:name w:val="List_Number_Alfabet"/>
    <w:basedOn w:val="Normal"/>
    <w:autoRedefine/>
    <w:qFormat/>
    <w:rsid w:val="0050122D"/>
    <w:pPr>
      <w:numPr>
        <w:numId w:val="16"/>
      </w:numPr>
      <w:spacing w:after="120" w:line="360" w:lineRule="auto"/>
      <w:jc w:val="both"/>
    </w:pPr>
    <w:rPr>
      <w:rFonts w:ascii="Arial" w:eastAsia="Times New Roman" w:hAnsi="Arial" w:cs="Times New Roman"/>
      <w:kern w:val="0"/>
      <w:sz w:val="24"/>
      <w:szCs w:val="20"/>
      <w:lang w:eastAsia="en-ZA"/>
      <w14:ligatures w14:val="none"/>
    </w:rPr>
  </w:style>
  <w:style w:type="numbering" w:customStyle="1" w:styleId="List123">
    <w:name w:val="List 123"/>
    <w:uiPriority w:val="99"/>
    <w:rsid w:val="0050122D"/>
    <w:pPr>
      <w:numPr>
        <w:numId w:val="17"/>
      </w:numPr>
    </w:pPr>
  </w:style>
  <w:style w:type="paragraph" w:customStyle="1" w:styleId="Reference">
    <w:name w:val="Reference"/>
    <w:basedOn w:val="Normal"/>
    <w:semiHidden/>
    <w:qFormat/>
    <w:rsid w:val="0050122D"/>
    <w:pPr>
      <w:spacing w:after="240" w:line="360" w:lineRule="auto"/>
    </w:pPr>
    <w:rPr>
      <w:rFonts w:ascii="Arial" w:eastAsia="Times New Roman" w:hAnsi="Arial" w:cs="Times New Roman"/>
      <w:kern w:val="0"/>
      <w:sz w:val="24"/>
      <w:szCs w:val="20"/>
      <w14:ligatures w14:val="none"/>
    </w:rPr>
  </w:style>
  <w:style w:type="paragraph" w:customStyle="1" w:styleId="Abbreviation">
    <w:name w:val="Abbreviation"/>
    <w:basedOn w:val="Normal"/>
    <w:qFormat/>
    <w:rsid w:val="0050122D"/>
    <w:pPr>
      <w:tabs>
        <w:tab w:val="left" w:pos="2835"/>
      </w:tabs>
      <w:spacing w:after="240" w:line="240" w:lineRule="auto"/>
      <w:ind w:left="2835" w:hanging="2835"/>
      <w:jc w:val="both"/>
    </w:pPr>
    <w:rPr>
      <w:rFonts w:ascii="Arial" w:eastAsia="Times New Roman" w:hAnsi="Arial" w:cs="Times New Roman"/>
      <w:kern w:val="0"/>
      <w:sz w:val="24"/>
      <w:szCs w:val="20"/>
      <w14:ligatures w14:val="none"/>
    </w:rPr>
  </w:style>
  <w:style w:type="paragraph" w:customStyle="1" w:styleId="TableBody">
    <w:name w:val="Table_Body"/>
    <w:basedOn w:val="Normal"/>
    <w:link w:val="TableBodyChar"/>
    <w:autoRedefine/>
    <w:qFormat/>
    <w:rsid w:val="0050122D"/>
    <w:pPr>
      <w:spacing w:before="60" w:after="60" w:line="276" w:lineRule="auto"/>
    </w:pPr>
    <w:rPr>
      <w:rFonts w:ascii="Arial" w:eastAsia="Times New Roman" w:hAnsi="Arial"/>
      <w:kern w:val="0"/>
      <w:sz w:val="20"/>
      <w:szCs w:val="21"/>
      <w14:ligatures w14:val="none"/>
    </w:rPr>
  </w:style>
  <w:style w:type="paragraph" w:customStyle="1" w:styleId="ListBulletSingleSpacing">
    <w:name w:val="List Bullet Single Spacing"/>
    <w:basedOn w:val="ListBullet"/>
    <w:link w:val="ListBulletSingleSpacingChar"/>
    <w:qFormat/>
    <w:rsid w:val="0050122D"/>
    <w:pPr>
      <w:numPr>
        <w:numId w:val="18"/>
      </w:numPr>
      <w:spacing w:line="240" w:lineRule="auto"/>
      <w:ind w:left="357" w:hanging="357"/>
    </w:pPr>
  </w:style>
  <w:style w:type="paragraph" w:customStyle="1" w:styleId="Title1">
    <w:name w:val="Title1"/>
    <w:basedOn w:val="Normal"/>
    <w:next w:val="Normal"/>
    <w:uiPriority w:val="10"/>
    <w:qFormat/>
    <w:rsid w:val="0050122D"/>
    <w:pPr>
      <w:spacing w:after="240" w:line="240" w:lineRule="auto"/>
      <w:contextualSpacing/>
      <w:jc w:val="center"/>
    </w:pPr>
    <w:rPr>
      <w:rFonts w:ascii="Arial" w:eastAsia="Times New Roman" w:hAnsi="Arial" w:cs="Times New Roman"/>
      <w:b/>
      <w:color w:val="17365D"/>
      <w:spacing w:val="5"/>
      <w:kern w:val="28"/>
      <w:sz w:val="48"/>
      <w:szCs w:val="52"/>
      <w14:ligatures w14:val="none"/>
    </w:rPr>
  </w:style>
  <w:style w:type="paragraph" w:customStyle="1" w:styleId="Who">
    <w:name w:val="Who"/>
    <w:basedOn w:val="Normal"/>
    <w:semiHidden/>
    <w:qFormat/>
    <w:rsid w:val="0050122D"/>
    <w:pPr>
      <w:spacing w:after="120" w:line="240" w:lineRule="auto"/>
      <w:jc w:val="center"/>
    </w:pPr>
    <w:rPr>
      <w:rFonts w:ascii="Arial" w:eastAsia="Times New Roman" w:hAnsi="Arial" w:cs="Times New Roman"/>
      <w:b/>
      <w:kern w:val="0"/>
      <w:sz w:val="40"/>
      <w:szCs w:val="20"/>
      <w:lang w:val="en-US"/>
      <w14:ligatures w14:val="none"/>
    </w:rPr>
  </w:style>
  <w:style w:type="paragraph" w:customStyle="1" w:styleId="Dessertation">
    <w:name w:val="Dessertation"/>
    <w:basedOn w:val="Normal"/>
    <w:semiHidden/>
    <w:qFormat/>
    <w:rsid w:val="0050122D"/>
    <w:pPr>
      <w:spacing w:after="240" w:line="240" w:lineRule="auto"/>
      <w:jc w:val="center"/>
    </w:pPr>
    <w:rPr>
      <w:rFonts w:ascii="Arial" w:eastAsia="Times New Roman" w:hAnsi="Arial" w:cs="Times New Roman"/>
      <w:kern w:val="0"/>
      <w:sz w:val="34"/>
      <w:szCs w:val="32"/>
      <w:lang w:val="en-US"/>
      <w14:ligatures w14:val="none"/>
    </w:rPr>
  </w:style>
  <w:style w:type="paragraph" w:customStyle="1" w:styleId="Month">
    <w:name w:val="Month"/>
    <w:basedOn w:val="Normal"/>
    <w:semiHidden/>
    <w:qFormat/>
    <w:rsid w:val="0050122D"/>
    <w:pPr>
      <w:spacing w:after="120" w:line="240" w:lineRule="auto"/>
    </w:pPr>
    <w:rPr>
      <w:rFonts w:ascii="Arial" w:eastAsia="Times New Roman" w:hAnsi="Arial" w:cs="Times New Roman"/>
      <w:kern w:val="0"/>
      <w:sz w:val="34"/>
      <w:szCs w:val="34"/>
      <w:lang w:val="en-US"/>
      <w14:ligatures w14:val="none"/>
    </w:rPr>
  </w:style>
  <w:style w:type="paragraph" w:customStyle="1" w:styleId="Caption1">
    <w:name w:val="Caption1"/>
    <w:basedOn w:val="Normal"/>
    <w:next w:val="Normal"/>
    <w:link w:val="CaptionChar"/>
    <w:uiPriority w:val="35"/>
    <w:semiHidden/>
    <w:qFormat/>
    <w:rsid w:val="0050122D"/>
    <w:pPr>
      <w:spacing w:after="200" w:line="240" w:lineRule="auto"/>
      <w:jc w:val="both"/>
    </w:pPr>
    <w:rPr>
      <w:rFonts w:ascii="Arial" w:eastAsia="Times New Roman" w:hAnsi="Arial" w:cs="Times New Roman"/>
      <w:b/>
      <w:bCs/>
      <w:color w:val="4F81BD"/>
      <w:kern w:val="0"/>
      <w:sz w:val="18"/>
      <w:szCs w:val="18"/>
      <w14:ligatures w14:val="none"/>
    </w:rPr>
  </w:style>
  <w:style w:type="paragraph" w:customStyle="1" w:styleId="ListNumber">
    <w:name w:val="List_Number"/>
    <w:basedOn w:val="Normal"/>
    <w:qFormat/>
    <w:rsid w:val="0050122D"/>
    <w:pPr>
      <w:numPr>
        <w:numId w:val="19"/>
      </w:numPr>
      <w:tabs>
        <w:tab w:val="left" w:pos="567"/>
      </w:tabs>
      <w:spacing w:after="120" w:line="360" w:lineRule="auto"/>
      <w:ind w:left="567" w:hanging="567"/>
      <w:jc w:val="both"/>
    </w:pPr>
    <w:rPr>
      <w:rFonts w:ascii="Arial" w:eastAsia="Times New Roman" w:hAnsi="Arial" w:cs="Times New Roman"/>
      <w:noProof/>
      <w:kern w:val="0"/>
      <w:sz w:val="24"/>
      <w:szCs w:val="20"/>
      <w:lang w:eastAsia="en-ZA"/>
      <w14:ligatures w14:val="none"/>
    </w:rPr>
  </w:style>
  <w:style w:type="paragraph" w:styleId="Bibliography">
    <w:name w:val="Bibliography"/>
    <w:basedOn w:val="Normal"/>
    <w:next w:val="Normal"/>
    <w:uiPriority w:val="37"/>
    <w:rsid w:val="0050122D"/>
    <w:pPr>
      <w:spacing w:after="240" w:line="360" w:lineRule="auto"/>
    </w:pPr>
    <w:rPr>
      <w:rFonts w:ascii="Arial" w:eastAsia="Times New Roman" w:hAnsi="Arial" w:cs="Times New Roman"/>
      <w:kern w:val="0"/>
      <w:sz w:val="24"/>
      <w:szCs w:val="20"/>
      <w14:ligatures w14:val="none"/>
    </w:rPr>
  </w:style>
  <w:style w:type="character" w:customStyle="1" w:styleId="TableboldCenter8smallChar">
    <w:name w:val="Table_bold_Center_8_small Char"/>
    <w:basedOn w:val="TableboldcentreChar"/>
    <w:link w:val="TableboldCenter8small"/>
    <w:rsid w:val="0050122D"/>
    <w:rPr>
      <w:rFonts w:ascii="Arial" w:eastAsia="Calibri" w:hAnsi="Arial" w:cs="Times New Roman"/>
      <w:b/>
      <w:bCs/>
      <w:kern w:val="0"/>
      <w:sz w:val="16"/>
      <w:szCs w:val="21"/>
      <w:lang w:eastAsia="en-ZA"/>
      <w14:ligatures w14:val="none"/>
    </w:rPr>
  </w:style>
  <w:style w:type="paragraph" w:customStyle="1" w:styleId="Tablebulletlist">
    <w:name w:val="Table_bullet list"/>
    <w:basedOn w:val="ListBulletSingleSpacing"/>
    <w:link w:val="TablebulletlistChar"/>
    <w:autoRedefine/>
    <w:qFormat/>
    <w:rsid w:val="0050122D"/>
    <w:pPr>
      <w:spacing w:before="60" w:after="60"/>
    </w:pPr>
    <w:rPr>
      <w:sz w:val="20"/>
      <w:lang w:eastAsia="en-ZA"/>
    </w:rPr>
  </w:style>
  <w:style w:type="paragraph" w:customStyle="1" w:styleId="Listbulletheading">
    <w:name w:val="List bullet heading"/>
    <w:basedOn w:val="ListBullet"/>
    <w:next w:val="Normal"/>
    <w:link w:val="ListbulletheadingChar"/>
    <w:autoRedefine/>
    <w:qFormat/>
    <w:rsid w:val="0050122D"/>
    <w:pPr>
      <w:keepNext/>
      <w:spacing w:before="240" w:after="120"/>
    </w:pPr>
    <w:rPr>
      <w:rFonts w:ascii="Arial Bold" w:hAnsi="Arial Bold"/>
      <w:b/>
    </w:rPr>
  </w:style>
  <w:style w:type="character" w:customStyle="1" w:styleId="ListBulletChar">
    <w:name w:val="List Bullet Char"/>
    <w:basedOn w:val="DefaultParagraphFont"/>
    <w:link w:val="ListBullet"/>
    <w:rsid w:val="0050122D"/>
    <w:rPr>
      <w:rFonts w:ascii="Arial" w:eastAsia="Times New Roman" w:hAnsi="Arial" w:cs="Times New Roman"/>
      <w:kern w:val="0"/>
      <w:sz w:val="24"/>
      <w:szCs w:val="20"/>
      <w14:ligatures w14:val="none"/>
    </w:rPr>
  </w:style>
  <w:style w:type="character" w:customStyle="1" w:styleId="ListBulletSingleSpacingChar">
    <w:name w:val="List Bullet Single Spacing Char"/>
    <w:basedOn w:val="ListBulletChar"/>
    <w:link w:val="ListBulletSingleSpacing"/>
    <w:rsid w:val="0050122D"/>
    <w:rPr>
      <w:rFonts w:ascii="Arial" w:eastAsia="Times New Roman" w:hAnsi="Arial" w:cs="Times New Roman"/>
      <w:kern w:val="0"/>
      <w:sz w:val="24"/>
      <w:szCs w:val="20"/>
      <w14:ligatures w14:val="none"/>
    </w:rPr>
  </w:style>
  <w:style w:type="character" w:customStyle="1" w:styleId="TablebulletlistChar">
    <w:name w:val="Table_bullet list Char"/>
    <w:basedOn w:val="ListBulletSingleSpacingChar"/>
    <w:link w:val="Tablebulletlist"/>
    <w:rsid w:val="0050122D"/>
    <w:rPr>
      <w:rFonts w:ascii="Arial" w:eastAsia="Times New Roman" w:hAnsi="Arial" w:cs="Times New Roman"/>
      <w:kern w:val="0"/>
      <w:sz w:val="20"/>
      <w:szCs w:val="20"/>
      <w:lang w:eastAsia="en-ZA"/>
      <w14:ligatures w14:val="none"/>
    </w:rPr>
  </w:style>
  <w:style w:type="character" w:customStyle="1" w:styleId="ListbulletheadingChar">
    <w:name w:val="List bullet heading Char"/>
    <w:basedOn w:val="ListBulletChar"/>
    <w:link w:val="Listbulletheading"/>
    <w:rsid w:val="0050122D"/>
    <w:rPr>
      <w:rFonts w:ascii="Arial Bold" w:eastAsia="Times New Roman" w:hAnsi="Arial Bold" w:cs="Times New Roman"/>
      <w:b/>
      <w:kern w:val="0"/>
      <w:sz w:val="24"/>
      <w:szCs w:val="20"/>
      <w14:ligatures w14:val="none"/>
    </w:rPr>
  </w:style>
  <w:style w:type="paragraph" w:customStyle="1" w:styleId="Source">
    <w:name w:val="Source"/>
    <w:basedOn w:val="Normal"/>
    <w:link w:val="SourceChar"/>
    <w:autoRedefine/>
    <w:qFormat/>
    <w:rsid w:val="0050122D"/>
    <w:pPr>
      <w:spacing w:after="240" w:line="240" w:lineRule="auto"/>
    </w:pPr>
    <w:rPr>
      <w:rFonts w:ascii="Arial" w:eastAsia="Times New Roman" w:hAnsi="Arial" w:cs="Times New Roman"/>
      <w:b/>
      <w:bCs/>
      <w:kern w:val="0"/>
      <w:sz w:val="24"/>
      <w:lang w:eastAsia="en-ZA"/>
      <w14:ligatures w14:val="none"/>
    </w:rPr>
  </w:style>
  <w:style w:type="character" w:customStyle="1" w:styleId="SourceChar">
    <w:name w:val="Source Char"/>
    <w:basedOn w:val="DefaultParagraphFont"/>
    <w:link w:val="Source"/>
    <w:rsid w:val="0050122D"/>
    <w:rPr>
      <w:rFonts w:ascii="Arial" w:eastAsia="Times New Roman" w:hAnsi="Arial" w:cs="Times New Roman"/>
      <w:b/>
      <w:bCs/>
      <w:kern w:val="0"/>
      <w:sz w:val="24"/>
      <w:lang w:eastAsia="en-ZA"/>
      <w14:ligatures w14:val="none"/>
    </w:rPr>
  </w:style>
  <w:style w:type="paragraph" w:customStyle="1" w:styleId="TableBody8small">
    <w:name w:val="Table_Body_8_ small"/>
    <w:basedOn w:val="Normal"/>
    <w:link w:val="TableBody8smallChar"/>
    <w:autoRedefine/>
    <w:qFormat/>
    <w:rsid w:val="0050122D"/>
    <w:pPr>
      <w:spacing w:before="60" w:after="60" w:line="240" w:lineRule="auto"/>
    </w:pPr>
    <w:rPr>
      <w:rFonts w:ascii="Arial" w:eastAsia="Times New Roman" w:hAnsi="Arial" w:cs="Arial"/>
      <w:kern w:val="0"/>
      <w:sz w:val="16"/>
      <w:szCs w:val="21"/>
      <w14:ligatures w14:val="none"/>
    </w:rPr>
  </w:style>
  <w:style w:type="character" w:customStyle="1" w:styleId="TableBody8smallChar">
    <w:name w:val="Table_Body_8_ small Char"/>
    <w:basedOn w:val="DefaultParagraphFont"/>
    <w:link w:val="TableBody8small"/>
    <w:rsid w:val="0050122D"/>
    <w:rPr>
      <w:rFonts w:ascii="Arial" w:eastAsia="Times New Roman" w:hAnsi="Arial" w:cs="Arial"/>
      <w:kern w:val="0"/>
      <w:sz w:val="16"/>
      <w:szCs w:val="21"/>
      <w14:ligatures w14:val="none"/>
    </w:rPr>
  </w:style>
  <w:style w:type="paragraph" w:customStyle="1" w:styleId="Tableheading9small">
    <w:name w:val="Table_heading_9_small"/>
    <w:basedOn w:val="Normal"/>
    <w:link w:val="Tableheading9smallChar"/>
    <w:autoRedefine/>
    <w:qFormat/>
    <w:rsid w:val="0050122D"/>
    <w:pPr>
      <w:keepNext/>
      <w:spacing w:before="60" w:after="60" w:line="240" w:lineRule="auto"/>
      <w:jc w:val="center"/>
    </w:pPr>
    <w:rPr>
      <w:rFonts w:ascii="Arial" w:eastAsia="Times New Roman" w:hAnsi="Arial" w:cs="Times New Roman"/>
      <w:b/>
      <w:kern w:val="0"/>
      <w:sz w:val="24"/>
      <w:szCs w:val="24"/>
      <w14:ligatures w14:val="none"/>
    </w:rPr>
  </w:style>
  <w:style w:type="character" w:customStyle="1" w:styleId="Tableheading9smallChar">
    <w:name w:val="Table_heading_9_small Char"/>
    <w:basedOn w:val="DefaultParagraphFont"/>
    <w:link w:val="Tableheading9small"/>
    <w:rsid w:val="0050122D"/>
    <w:rPr>
      <w:rFonts w:ascii="Arial" w:eastAsia="Times New Roman" w:hAnsi="Arial" w:cs="Times New Roman"/>
      <w:b/>
      <w:kern w:val="0"/>
      <w:sz w:val="24"/>
      <w:szCs w:val="24"/>
      <w14:ligatures w14:val="none"/>
    </w:rPr>
  </w:style>
  <w:style w:type="paragraph" w:customStyle="1" w:styleId="ListBulletItalic">
    <w:name w:val="List_Bullet Italic"/>
    <w:basedOn w:val="ListBullet"/>
    <w:link w:val="ListBulletItalicChar"/>
    <w:autoRedefine/>
    <w:qFormat/>
    <w:rsid w:val="0050122D"/>
    <w:pPr>
      <w:numPr>
        <w:numId w:val="21"/>
      </w:numPr>
      <w:tabs>
        <w:tab w:val="num" w:pos="426"/>
      </w:tabs>
      <w:ind w:left="426" w:hanging="426"/>
    </w:pPr>
    <w:rPr>
      <w:rFonts w:eastAsia="Calibri"/>
      <w:i/>
    </w:rPr>
  </w:style>
  <w:style w:type="character" w:customStyle="1" w:styleId="ListBulletItalicChar">
    <w:name w:val="List_Bullet Italic Char"/>
    <w:basedOn w:val="ListBulletChar"/>
    <w:link w:val="ListBulletItalic"/>
    <w:rsid w:val="0050122D"/>
    <w:rPr>
      <w:rFonts w:ascii="Arial" w:eastAsia="Calibri" w:hAnsi="Arial" w:cs="Times New Roman"/>
      <w:i/>
      <w:kern w:val="0"/>
      <w:sz w:val="24"/>
      <w:szCs w:val="20"/>
      <w14:ligatures w14:val="none"/>
    </w:rPr>
  </w:style>
  <w:style w:type="paragraph" w:customStyle="1" w:styleId="Tableabc">
    <w:name w:val="Table_abc"/>
    <w:basedOn w:val="ListNumberAlfabet0"/>
    <w:link w:val="TableabcChar"/>
    <w:autoRedefine/>
    <w:qFormat/>
    <w:rsid w:val="0050122D"/>
    <w:pPr>
      <w:numPr>
        <w:numId w:val="22"/>
      </w:numPr>
      <w:spacing w:before="60" w:after="60" w:line="240" w:lineRule="auto"/>
      <w:jc w:val="left"/>
    </w:pPr>
    <w:rPr>
      <w:rFonts w:eastAsia="Calibri"/>
      <w:sz w:val="20"/>
    </w:rPr>
  </w:style>
  <w:style w:type="character" w:customStyle="1" w:styleId="TableabcChar">
    <w:name w:val="Table_abc Char"/>
    <w:basedOn w:val="DefaultParagraphFont"/>
    <w:link w:val="Tableabc"/>
    <w:rsid w:val="0050122D"/>
    <w:rPr>
      <w:rFonts w:ascii="Arial" w:eastAsia="Calibri" w:hAnsi="Arial" w:cs="Times New Roman"/>
      <w:kern w:val="0"/>
      <w:sz w:val="20"/>
      <w:szCs w:val="20"/>
      <w:lang w:eastAsia="en-ZA"/>
      <w14:ligatures w14:val="none"/>
    </w:rPr>
  </w:style>
  <w:style w:type="character" w:customStyle="1" w:styleId="TableBodyChar">
    <w:name w:val="Table_Body Char"/>
    <w:basedOn w:val="DefaultParagraphFont"/>
    <w:link w:val="TableBody"/>
    <w:rsid w:val="0050122D"/>
    <w:rPr>
      <w:rFonts w:ascii="Arial" w:eastAsia="Times New Roman" w:hAnsi="Arial"/>
      <w:kern w:val="0"/>
      <w:sz w:val="20"/>
      <w:szCs w:val="21"/>
      <w14:ligatures w14:val="none"/>
    </w:rPr>
  </w:style>
  <w:style w:type="paragraph" w:customStyle="1" w:styleId="Tablebodybold">
    <w:name w:val="Table_body_bold"/>
    <w:basedOn w:val="TableBody"/>
    <w:link w:val="TablebodyboldChar"/>
    <w:autoRedefine/>
    <w:qFormat/>
    <w:rsid w:val="0050122D"/>
    <w:rPr>
      <w:rFonts w:eastAsia="Calibri"/>
      <w:b/>
      <w:bCs/>
      <w:lang w:eastAsia="en-ZA"/>
    </w:rPr>
  </w:style>
  <w:style w:type="character" w:customStyle="1" w:styleId="TablebodyboldChar">
    <w:name w:val="Table_body_bold Char"/>
    <w:basedOn w:val="TableBodyChar"/>
    <w:link w:val="Tablebodybold"/>
    <w:rsid w:val="0050122D"/>
    <w:rPr>
      <w:rFonts w:ascii="Arial" w:eastAsia="Calibri" w:hAnsi="Arial"/>
      <w:b/>
      <w:bCs/>
      <w:kern w:val="0"/>
      <w:sz w:val="20"/>
      <w:szCs w:val="21"/>
      <w:lang w:eastAsia="en-ZA"/>
      <w14:ligatures w14:val="none"/>
    </w:rPr>
  </w:style>
  <w:style w:type="paragraph" w:customStyle="1" w:styleId="Tableboldcentre">
    <w:name w:val="Table_bold_centre"/>
    <w:basedOn w:val="Tablebodybold"/>
    <w:link w:val="TableboldcentreChar"/>
    <w:autoRedefine/>
    <w:qFormat/>
    <w:rsid w:val="0050122D"/>
    <w:pPr>
      <w:jc w:val="center"/>
    </w:pPr>
  </w:style>
  <w:style w:type="character" w:customStyle="1" w:styleId="TableboldcentreChar">
    <w:name w:val="Table_bold_centre Char"/>
    <w:basedOn w:val="TablebodyboldChar"/>
    <w:link w:val="Tableboldcentre"/>
    <w:rsid w:val="0050122D"/>
    <w:rPr>
      <w:rFonts w:ascii="Arial" w:eastAsia="Calibri" w:hAnsi="Arial"/>
      <w:b/>
      <w:bCs/>
      <w:kern w:val="0"/>
      <w:sz w:val="20"/>
      <w:szCs w:val="21"/>
      <w:lang w:eastAsia="en-ZA"/>
      <w14:ligatures w14:val="none"/>
    </w:rPr>
  </w:style>
  <w:style w:type="paragraph" w:customStyle="1" w:styleId="Tablebold8small">
    <w:name w:val="Table_bold_8_small"/>
    <w:basedOn w:val="Tablebodybold"/>
    <w:link w:val="Tablebold8smallChar"/>
    <w:autoRedefine/>
    <w:qFormat/>
    <w:rsid w:val="0050122D"/>
    <w:rPr>
      <w:sz w:val="16"/>
    </w:rPr>
  </w:style>
  <w:style w:type="character" w:customStyle="1" w:styleId="Tablebold8smallChar">
    <w:name w:val="Table_bold_8_small Char"/>
    <w:basedOn w:val="TablebodyboldChar"/>
    <w:link w:val="Tablebold8small"/>
    <w:rsid w:val="0050122D"/>
    <w:rPr>
      <w:rFonts w:ascii="Arial" w:eastAsia="Calibri" w:hAnsi="Arial"/>
      <w:b/>
      <w:bCs/>
      <w:kern w:val="0"/>
      <w:sz w:val="16"/>
      <w:szCs w:val="21"/>
      <w:lang w:eastAsia="en-ZA"/>
      <w14:ligatures w14:val="none"/>
    </w:rPr>
  </w:style>
  <w:style w:type="paragraph" w:customStyle="1" w:styleId="Tablebulletlist8small">
    <w:name w:val="Table_bullet_list_8_small"/>
    <w:basedOn w:val="Tablebulletlist"/>
    <w:link w:val="Tablebulletlist8smallChar"/>
    <w:qFormat/>
    <w:rsid w:val="0050122D"/>
    <w:pPr>
      <w:ind w:left="176" w:hanging="176"/>
    </w:pPr>
    <w:rPr>
      <w:sz w:val="16"/>
    </w:rPr>
  </w:style>
  <w:style w:type="character" w:customStyle="1" w:styleId="Tablebulletlist8smallChar">
    <w:name w:val="Table_bullet_list_8_small Char"/>
    <w:basedOn w:val="TablebulletlistChar"/>
    <w:link w:val="Tablebulletlist8small"/>
    <w:rsid w:val="0050122D"/>
    <w:rPr>
      <w:rFonts w:ascii="Arial" w:eastAsia="Times New Roman" w:hAnsi="Arial" w:cs="Times New Roman"/>
      <w:kern w:val="0"/>
      <w:sz w:val="16"/>
      <w:szCs w:val="20"/>
      <w:lang w:eastAsia="en-ZA"/>
      <w14:ligatures w14:val="none"/>
    </w:rPr>
  </w:style>
  <w:style w:type="paragraph" w:customStyle="1" w:styleId="Tableabc8small">
    <w:name w:val="Table_abc_8_small"/>
    <w:basedOn w:val="Tableabc"/>
    <w:link w:val="Tableabc8smallChar"/>
    <w:autoRedefine/>
    <w:qFormat/>
    <w:rsid w:val="0050122D"/>
    <w:pPr>
      <w:numPr>
        <w:numId w:val="24"/>
      </w:numPr>
      <w:ind w:left="207" w:hanging="207"/>
    </w:pPr>
    <w:rPr>
      <w:sz w:val="16"/>
    </w:rPr>
  </w:style>
  <w:style w:type="character" w:customStyle="1" w:styleId="Tableabc8smallChar">
    <w:name w:val="Table_abc_8_small Char"/>
    <w:basedOn w:val="TableabcChar"/>
    <w:link w:val="Tableabc8small"/>
    <w:rsid w:val="0050122D"/>
    <w:rPr>
      <w:rFonts w:ascii="Arial" w:eastAsia="Calibri" w:hAnsi="Arial" w:cs="Times New Roman"/>
      <w:kern w:val="0"/>
      <w:sz w:val="16"/>
      <w:szCs w:val="20"/>
      <w:lang w:eastAsia="en-ZA"/>
      <w14:ligatures w14:val="none"/>
    </w:rPr>
  </w:style>
  <w:style w:type="numbering" w:customStyle="1" w:styleId="Tableabc8small-">
    <w:name w:val="Table_abc_8_small-"/>
    <w:uiPriority w:val="99"/>
    <w:rsid w:val="0050122D"/>
    <w:pPr>
      <w:numPr>
        <w:numId w:val="23"/>
      </w:numPr>
    </w:pPr>
  </w:style>
  <w:style w:type="paragraph" w:customStyle="1" w:styleId="ListNumberBrackets">
    <w:name w:val="List_Number_Brackets"/>
    <w:basedOn w:val="Normal"/>
    <w:rsid w:val="0050122D"/>
    <w:pPr>
      <w:numPr>
        <w:numId w:val="25"/>
      </w:numPr>
      <w:spacing w:after="240" w:line="360" w:lineRule="auto"/>
      <w:jc w:val="both"/>
    </w:pPr>
    <w:rPr>
      <w:rFonts w:ascii="Arial" w:eastAsia="Times New Roman" w:hAnsi="Arial" w:cs="Times New Roman"/>
      <w:kern w:val="0"/>
      <w:sz w:val="24"/>
      <w:szCs w:val="20"/>
      <w14:ligatures w14:val="none"/>
    </w:rPr>
  </w:style>
  <w:style w:type="paragraph" w:customStyle="1" w:styleId="CaptionBotFig">
    <w:name w:val="CaptionBot_Fig"/>
    <w:basedOn w:val="Normal"/>
    <w:next w:val="Normal"/>
    <w:autoRedefine/>
    <w:rsid w:val="0050122D"/>
    <w:pPr>
      <w:spacing w:before="60" w:after="600" w:line="360" w:lineRule="auto"/>
      <w:ind w:left="1701" w:hanging="1701"/>
      <w:jc w:val="both"/>
    </w:pPr>
    <w:rPr>
      <w:rFonts w:ascii="Arial" w:eastAsia="Times New Roman" w:hAnsi="Arial" w:cs="Times New Roman"/>
      <w:b/>
      <w:kern w:val="0"/>
      <w:sz w:val="24"/>
      <w:szCs w:val="20"/>
      <w14:ligatures w14:val="none"/>
    </w:rPr>
  </w:style>
  <w:style w:type="paragraph" w:customStyle="1" w:styleId="CaptionTopTbl">
    <w:name w:val="CaptionTop_Tbl"/>
    <w:basedOn w:val="Normal"/>
    <w:next w:val="Normal"/>
    <w:autoRedefine/>
    <w:rsid w:val="0050122D"/>
    <w:pPr>
      <w:keepNext/>
      <w:spacing w:before="240" w:after="240" w:line="360" w:lineRule="auto"/>
      <w:ind w:left="1134" w:hanging="1134"/>
    </w:pPr>
    <w:rPr>
      <w:rFonts w:ascii="Arial" w:eastAsia="Times New Roman" w:hAnsi="Arial" w:cs="Times New Roman"/>
      <w:b/>
      <w:kern w:val="0"/>
      <w:sz w:val="24"/>
      <w:szCs w:val="20"/>
      <w14:ligatures w14:val="none"/>
    </w:rPr>
  </w:style>
  <w:style w:type="paragraph" w:customStyle="1" w:styleId="ListNumberAlfabetBrackets">
    <w:name w:val="List_Number_Alfabet_Brackets"/>
    <w:basedOn w:val="Normal"/>
    <w:qFormat/>
    <w:rsid w:val="0050122D"/>
    <w:pPr>
      <w:tabs>
        <w:tab w:val="num" w:pos="567"/>
      </w:tabs>
      <w:spacing w:after="240" w:line="360" w:lineRule="auto"/>
      <w:ind w:left="567" w:hanging="567"/>
      <w:jc w:val="both"/>
    </w:pPr>
    <w:rPr>
      <w:rFonts w:ascii="Arial" w:eastAsia="Times New Roman" w:hAnsi="Arial" w:cs="Times New Roman"/>
      <w:kern w:val="0"/>
      <w:sz w:val="24"/>
      <w:szCs w:val="20"/>
      <w14:ligatures w14:val="none"/>
    </w:rPr>
  </w:style>
  <w:style w:type="paragraph" w:customStyle="1" w:styleId="1Normaltext">
    <w:name w:val="1. Normal text"/>
    <w:basedOn w:val="Normal"/>
    <w:qFormat/>
    <w:rsid w:val="0050122D"/>
    <w:pPr>
      <w:spacing w:before="120" w:after="240" w:line="360" w:lineRule="auto"/>
      <w:jc w:val="both"/>
    </w:pPr>
    <w:rPr>
      <w:rFonts w:ascii="Arial" w:eastAsia="Times New Roman" w:hAnsi="Arial" w:cs="Times New Roman"/>
      <w:kern w:val="0"/>
      <w:sz w:val="24"/>
      <w:szCs w:val="20"/>
      <w14:ligatures w14:val="none"/>
    </w:rPr>
  </w:style>
  <w:style w:type="paragraph" w:customStyle="1" w:styleId="Chapter">
    <w:name w:val="Chapter"/>
    <w:basedOn w:val="TOCHeading"/>
    <w:qFormat/>
    <w:rsid w:val="0050122D"/>
    <w:pPr>
      <w:jc w:val="left"/>
    </w:pPr>
  </w:style>
  <w:style w:type="paragraph" w:customStyle="1" w:styleId="root-block-node">
    <w:name w:val="root-block-node"/>
    <w:basedOn w:val="Normal"/>
    <w:rsid w:val="0050122D"/>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red-underline">
    <w:name w:val="red-underline"/>
    <w:basedOn w:val="DefaultParagraphFont"/>
    <w:rsid w:val="0050122D"/>
  </w:style>
  <w:style w:type="table" w:customStyle="1" w:styleId="TableGrid20">
    <w:name w:val="Table Grid2"/>
    <w:basedOn w:val="TableNormal"/>
    <w:next w:val="TableGrid"/>
    <w:uiPriority w:val="59"/>
    <w:rsid w:val="0050122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122D"/>
    <w:pPr>
      <w:autoSpaceDE w:val="0"/>
      <w:autoSpaceDN w:val="0"/>
      <w:adjustRightInd w:val="0"/>
      <w:spacing w:after="0" w:line="240" w:lineRule="auto"/>
    </w:pPr>
    <w:rPr>
      <w:rFonts w:ascii="Arial" w:eastAsia="Times New Roman" w:hAnsi="Arial" w:cs="Arial"/>
      <w:color w:val="000000"/>
      <w:kern w:val="0"/>
      <w:sz w:val="24"/>
      <w:szCs w:val="24"/>
      <w:lang w:eastAsia="en-ZA"/>
      <w14:ligatures w14:val="none"/>
    </w:rPr>
  </w:style>
  <w:style w:type="table" w:customStyle="1" w:styleId="TableGrid11">
    <w:name w:val="Table Grid11"/>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50122D"/>
    <w:pPr>
      <w:numPr>
        <w:numId w:val="26"/>
      </w:numPr>
    </w:pPr>
  </w:style>
  <w:style w:type="table" w:customStyle="1" w:styleId="TableGrid50">
    <w:name w:val="Table Grid5"/>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uiPriority w:val="99"/>
    <w:rsid w:val="0050122D"/>
  </w:style>
  <w:style w:type="table" w:customStyle="1" w:styleId="TableGrid60">
    <w:name w:val="Table Grid6"/>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uiPriority w:val="99"/>
    <w:rsid w:val="0050122D"/>
  </w:style>
  <w:style w:type="table" w:customStyle="1" w:styleId="TableGrid70">
    <w:name w:val="Table Grid7"/>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chor-text">
    <w:name w:val="anchor-text"/>
    <w:basedOn w:val="DefaultParagraphFont"/>
    <w:rsid w:val="0050122D"/>
  </w:style>
  <w:style w:type="table" w:customStyle="1" w:styleId="TableGrid100">
    <w:name w:val="Table Grid10"/>
    <w:basedOn w:val="TableNormal"/>
    <w:next w:val="TableGrid"/>
    <w:uiPriority w:val="39"/>
    <w:rsid w:val="0050122D"/>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50122D"/>
  </w:style>
  <w:style w:type="character" w:customStyle="1" w:styleId="mord">
    <w:name w:val="mord"/>
    <w:basedOn w:val="DefaultParagraphFont"/>
    <w:rsid w:val="0050122D"/>
  </w:style>
  <w:style w:type="character" w:customStyle="1" w:styleId="mbin">
    <w:name w:val="mbin"/>
    <w:basedOn w:val="DefaultParagraphFont"/>
    <w:rsid w:val="0050122D"/>
  </w:style>
  <w:style w:type="character" w:customStyle="1" w:styleId="vlist-s">
    <w:name w:val="vlist-s"/>
    <w:basedOn w:val="DefaultParagraphFont"/>
    <w:rsid w:val="0050122D"/>
  </w:style>
  <w:style w:type="character" w:customStyle="1" w:styleId="mrel">
    <w:name w:val="mrel"/>
    <w:basedOn w:val="DefaultParagraphFont"/>
    <w:rsid w:val="0050122D"/>
  </w:style>
  <w:style w:type="numbering" w:customStyle="1" w:styleId="NoList111">
    <w:name w:val="No List111"/>
    <w:next w:val="NoList"/>
    <w:uiPriority w:val="99"/>
    <w:semiHidden/>
    <w:unhideWhenUsed/>
    <w:rsid w:val="0050122D"/>
  </w:style>
  <w:style w:type="paragraph" w:customStyle="1" w:styleId="Subtitle1">
    <w:name w:val="Subtitle1"/>
    <w:basedOn w:val="Normal"/>
    <w:next w:val="Normal"/>
    <w:uiPriority w:val="11"/>
    <w:qFormat/>
    <w:rsid w:val="0050122D"/>
    <w:pPr>
      <w:numPr>
        <w:ilvl w:val="1"/>
      </w:numPr>
    </w:pPr>
    <w:rPr>
      <w:rFonts w:ascii="Aptos" w:eastAsia="Times New Roman" w:hAnsi="Aptos" w:cs="Times New Roman"/>
      <w:color w:val="595959"/>
      <w:spacing w:val="15"/>
      <w:sz w:val="28"/>
      <w:szCs w:val="28"/>
    </w:rPr>
  </w:style>
  <w:style w:type="character" w:customStyle="1" w:styleId="IntenseEmphasis1">
    <w:name w:val="Intense Emphasis1"/>
    <w:basedOn w:val="DefaultParagraphFont"/>
    <w:uiPriority w:val="21"/>
    <w:qFormat/>
    <w:rsid w:val="0050122D"/>
    <w:rPr>
      <w:i/>
      <w:iCs/>
      <w:color w:val="0F4761"/>
    </w:rPr>
  </w:style>
  <w:style w:type="paragraph" w:customStyle="1" w:styleId="IntenseQuote1">
    <w:name w:val="Intense Quote1"/>
    <w:basedOn w:val="Normal"/>
    <w:next w:val="Normal"/>
    <w:uiPriority w:val="30"/>
    <w:qFormat/>
    <w:rsid w:val="0050122D"/>
    <w:pPr>
      <w:pBdr>
        <w:top w:val="single" w:sz="4" w:space="10" w:color="0F4761"/>
        <w:bottom w:val="single" w:sz="4" w:space="10" w:color="0F4761"/>
      </w:pBdr>
      <w:spacing w:before="360" w:after="360"/>
      <w:ind w:left="864" w:right="864"/>
      <w:jc w:val="center"/>
    </w:pPr>
    <w:rPr>
      <w:rFonts w:ascii="Aptos" w:eastAsia="Aptos" w:hAnsi="Aptos" w:cs="Times New Roman"/>
      <w:i/>
      <w:iCs/>
      <w:color w:val="0F4761"/>
      <w:sz w:val="24"/>
    </w:rPr>
  </w:style>
  <w:style w:type="character" w:customStyle="1" w:styleId="IntenseReference1">
    <w:name w:val="Intense Reference1"/>
    <w:basedOn w:val="DefaultParagraphFont"/>
    <w:uiPriority w:val="32"/>
    <w:qFormat/>
    <w:rsid w:val="0050122D"/>
    <w:rPr>
      <w:b/>
      <w:bCs/>
      <w:smallCaps/>
      <w:color w:val="0F4761"/>
      <w:spacing w:val="5"/>
    </w:rPr>
  </w:style>
  <w:style w:type="table" w:customStyle="1" w:styleId="TableGrid111">
    <w:name w:val="Table Grid111"/>
    <w:basedOn w:val="TableNormal"/>
    <w:next w:val="TableGrid"/>
    <w:uiPriority w:val="39"/>
    <w:rsid w:val="0050122D"/>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50122D"/>
    <w:pPr>
      <w:spacing w:after="0" w:line="240" w:lineRule="auto"/>
    </w:pPr>
    <w:rPr>
      <w:rFonts w:ascii="Aptos" w:eastAsia="Aptos" w:hAnsi="Apto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1">
    <w:name w:val="Subtitle Char1"/>
    <w:basedOn w:val="DefaultParagraphFont"/>
    <w:rsid w:val="0050122D"/>
    <w:rPr>
      <w:rFonts w:eastAsia="Times New Roman"/>
      <w:color w:val="5A5A5A"/>
      <w:spacing w:val="15"/>
    </w:rPr>
  </w:style>
  <w:style w:type="character" w:customStyle="1" w:styleId="IntenseEmphasis2">
    <w:name w:val="Intense Emphasis2"/>
    <w:basedOn w:val="DefaultParagraphFont"/>
    <w:uiPriority w:val="21"/>
    <w:qFormat/>
    <w:rsid w:val="0050122D"/>
    <w:rPr>
      <w:i/>
      <w:iCs/>
      <w:color w:val="4F81BD"/>
    </w:rPr>
  </w:style>
  <w:style w:type="paragraph" w:customStyle="1" w:styleId="IntenseQuote2">
    <w:name w:val="Intense Quote2"/>
    <w:basedOn w:val="Normal"/>
    <w:next w:val="Normal"/>
    <w:uiPriority w:val="30"/>
    <w:qFormat/>
    <w:rsid w:val="0050122D"/>
    <w:pPr>
      <w:pBdr>
        <w:top w:val="single" w:sz="4" w:space="10" w:color="4F81BD"/>
        <w:bottom w:val="single" w:sz="4" w:space="10" w:color="4F81BD"/>
      </w:pBdr>
      <w:spacing w:before="360" w:after="360" w:line="360" w:lineRule="auto"/>
      <w:ind w:left="864" w:right="864"/>
      <w:jc w:val="center"/>
    </w:pPr>
    <w:rPr>
      <w:rFonts w:ascii="Times New Roman" w:eastAsia="Times New Roman" w:hAnsi="Times New Roman" w:cs="Times New Roman"/>
      <w:i/>
      <w:iCs/>
      <w:color w:val="0F4761"/>
      <w:kern w:val="0"/>
      <w:sz w:val="20"/>
      <w:szCs w:val="20"/>
      <w:lang w:eastAsia="en-ZA"/>
      <w14:ligatures w14:val="none"/>
    </w:rPr>
  </w:style>
  <w:style w:type="character" w:customStyle="1" w:styleId="IntenseQuoteChar1">
    <w:name w:val="Intense Quote Char1"/>
    <w:basedOn w:val="DefaultParagraphFont"/>
    <w:uiPriority w:val="30"/>
    <w:rsid w:val="0050122D"/>
    <w:rPr>
      <w:rFonts w:ascii="Arial" w:hAnsi="Arial"/>
      <w:i/>
      <w:iCs/>
      <w:color w:val="4F81BD"/>
      <w:sz w:val="22"/>
      <w:lang w:eastAsia="en-US"/>
    </w:rPr>
  </w:style>
  <w:style w:type="character" w:customStyle="1" w:styleId="IntenseReference2">
    <w:name w:val="Intense Reference2"/>
    <w:basedOn w:val="DefaultParagraphFont"/>
    <w:uiPriority w:val="32"/>
    <w:qFormat/>
    <w:rsid w:val="0050122D"/>
    <w:rPr>
      <w:b/>
      <w:bCs/>
      <w:smallCaps/>
      <w:color w:val="4F81BD"/>
      <w:spacing w:val="5"/>
    </w:rPr>
  </w:style>
  <w:style w:type="numbering" w:customStyle="1" w:styleId="NoList2">
    <w:name w:val="No List2"/>
    <w:next w:val="NoList"/>
    <w:uiPriority w:val="99"/>
    <w:semiHidden/>
    <w:unhideWhenUsed/>
    <w:rsid w:val="0050122D"/>
  </w:style>
  <w:style w:type="table" w:customStyle="1" w:styleId="TableGrid13">
    <w:name w:val="Table Grid13"/>
    <w:basedOn w:val="TableNormal"/>
    <w:next w:val="TableGrid"/>
    <w:uiPriority w:val="39"/>
    <w:rsid w:val="0050122D"/>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50122D"/>
    <w:pPr>
      <w:spacing w:after="0" w:line="240" w:lineRule="auto"/>
    </w:pPr>
    <w:rPr>
      <w:rFonts w:ascii="Aptos" w:eastAsia="Aptos" w:hAnsi="Apto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uiPriority w:val="99"/>
    <w:rsid w:val="0050122D"/>
  </w:style>
  <w:style w:type="numbering" w:customStyle="1" w:styleId="Style24">
    <w:name w:val="Style24"/>
    <w:uiPriority w:val="99"/>
    <w:rsid w:val="0050122D"/>
  </w:style>
  <w:style w:type="numbering" w:customStyle="1" w:styleId="Style25">
    <w:name w:val="Style25"/>
    <w:uiPriority w:val="99"/>
    <w:rsid w:val="0050122D"/>
  </w:style>
  <w:style w:type="numbering" w:customStyle="1" w:styleId="Style26">
    <w:name w:val="Style26"/>
    <w:uiPriority w:val="99"/>
    <w:rsid w:val="0050122D"/>
  </w:style>
  <w:style w:type="numbering" w:customStyle="1" w:styleId="Style27">
    <w:name w:val="Style27"/>
    <w:uiPriority w:val="99"/>
    <w:rsid w:val="0050122D"/>
  </w:style>
  <w:style w:type="numbering" w:customStyle="1" w:styleId="Style28">
    <w:name w:val="Style28"/>
    <w:uiPriority w:val="99"/>
    <w:rsid w:val="0050122D"/>
  </w:style>
  <w:style w:type="paragraph" w:customStyle="1" w:styleId="TOCHeading1">
    <w:name w:val="TOC Heading1"/>
    <w:basedOn w:val="Heading1"/>
    <w:next w:val="Normal"/>
    <w:uiPriority w:val="39"/>
    <w:unhideWhenUsed/>
    <w:qFormat/>
    <w:rsid w:val="0050122D"/>
    <w:pPr>
      <w:spacing w:before="240" w:after="0"/>
      <w:ind w:left="0" w:firstLine="0"/>
      <w:outlineLvl w:val="9"/>
    </w:pPr>
    <w:rPr>
      <w:kern w:val="0"/>
      <w:sz w:val="32"/>
      <w:szCs w:val="32"/>
      <w:lang w:val="en-US"/>
      <w14:ligatures w14:val="none"/>
    </w:rPr>
  </w:style>
  <w:style w:type="table" w:customStyle="1" w:styleId="TableGrid14">
    <w:name w:val="Table Grid14"/>
    <w:basedOn w:val="TableNormal"/>
    <w:next w:val="TableGrid"/>
    <w:uiPriority w:val="59"/>
    <w:rsid w:val="0050122D"/>
    <w:pPr>
      <w:spacing w:after="0" w:line="240" w:lineRule="auto"/>
    </w:pPr>
    <w:rPr>
      <w:rFonts w:ascii="Aptos" w:eastAsia="Aptos" w:hAnsi="Apto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
    <w:name w:val="FRONT"/>
    <w:basedOn w:val="TOCHeading"/>
    <w:link w:val="FRONTChar"/>
    <w:qFormat/>
    <w:rsid w:val="0050122D"/>
  </w:style>
  <w:style w:type="character" w:customStyle="1" w:styleId="TOCHeadingChar">
    <w:name w:val="TOC_Heading Char"/>
    <w:basedOn w:val="DefaultParagraphFont"/>
    <w:link w:val="TOCHeading"/>
    <w:rsid w:val="0050122D"/>
    <w:rPr>
      <w:rFonts w:ascii="Arial Bold" w:eastAsia="Times New Roman" w:hAnsi="Arial Bold" w:cs="Times New Roman"/>
      <w:b/>
      <w:caps/>
      <w:kern w:val="0"/>
      <w:sz w:val="24"/>
      <w:szCs w:val="24"/>
      <w14:ligatures w14:val="none"/>
    </w:rPr>
  </w:style>
  <w:style w:type="character" w:customStyle="1" w:styleId="FRONTChar">
    <w:name w:val="FRONT Char"/>
    <w:basedOn w:val="TOCHeadingChar"/>
    <w:link w:val="FRONT"/>
    <w:rsid w:val="0050122D"/>
    <w:rPr>
      <w:rFonts w:ascii="Arial Bold" w:eastAsia="Times New Roman" w:hAnsi="Arial Bold" w:cs="Times New Roman"/>
      <w:b/>
      <w:caps/>
      <w:kern w:val="0"/>
      <w:sz w:val="24"/>
      <w:szCs w:val="24"/>
      <w14:ligatures w14:val="none"/>
    </w:rPr>
  </w:style>
  <w:style w:type="paragraph" w:customStyle="1" w:styleId="H3">
    <w:name w:val="H3"/>
    <w:basedOn w:val="ListParagraph"/>
    <w:link w:val="H3Char"/>
    <w:autoRedefine/>
    <w:qFormat/>
    <w:rsid w:val="0050122D"/>
    <w:pPr>
      <w:keepNext/>
      <w:spacing w:before="120" w:after="0" w:line="360" w:lineRule="auto"/>
      <w:ind w:left="851" w:hanging="851"/>
      <w:contextualSpacing w:val="0"/>
      <w:jc w:val="both"/>
    </w:pPr>
    <w:rPr>
      <w:rFonts w:eastAsia="Calibri" w:cs="Arial"/>
      <w:b/>
      <w:bCs/>
      <w:kern w:val="0"/>
      <w:szCs w:val="24"/>
      <w14:ligatures w14:val="none"/>
    </w:rPr>
  </w:style>
  <w:style w:type="character" w:customStyle="1" w:styleId="ListParagraphChar">
    <w:name w:val="List Paragraph Char"/>
    <w:basedOn w:val="DefaultParagraphFont"/>
    <w:link w:val="ListParagraph"/>
    <w:uiPriority w:val="34"/>
    <w:rsid w:val="0050122D"/>
  </w:style>
  <w:style w:type="character" w:customStyle="1" w:styleId="H3Char">
    <w:name w:val="H3 Char"/>
    <w:basedOn w:val="ListParagraphChar"/>
    <w:link w:val="H3"/>
    <w:rsid w:val="0050122D"/>
    <w:rPr>
      <w:rFonts w:eastAsia="Calibri" w:cs="Arial"/>
      <w:b/>
      <w:bCs/>
      <w:kern w:val="0"/>
      <w:szCs w:val="24"/>
      <w14:ligatures w14:val="none"/>
    </w:rPr>
  </w:style>
  <w:style w:type="paragraph" w:customStyle="1" w:styleId="H2">
    <w:name w:val="H2"/>
    <w:basedOn w:val="Heading2"/>
    <w:link w:val="H2Char"/>
    <w:autoRedefine/>
    <w:qFormat/>
    <w:rsid w:val="0050122D"/>
    <w:pPr>
      <w:keepLines w:val="0"/>
      <w:tabs>
        <w:tab w:val="left" w:pos="851"/>
      </w:tabs>
      <w:spacing w:before="240" w:after="0" w:line="360" w:lineRule="auto"/>
      <w:ind w:left="851" w:hanging="851"/>
      <w:jc w:val="both"/>
    </w:pPr>
    <w:rPr>
      <w:rFonts w:ascii="Arial" w:eastAsia="Times New Roman" w:hAnsi="Arial" w:cs="Arial"/>
      <w:b/>
      <w:bCs/>
      <w:iCs/>
      <w:kern w:val="0"/>
      <w:sz w:val="24"/>
      <w:szCs w:val="24"/>
      <w:lang w:val="en-GB"/>
      <w14:ligatures w14:val="none"/>
    </w:rPr>
  </w:style>
  <w:style w:type="character" w:customStyle="1" w:styleId="H2Char">
    <w:name w:val="H2 Char"/>
    <w:basedOn w:val="Heading2Char"/>
    <w:link w:val="H2"/>
    <w:rsid w:val="0050122D"/>
    <w:rPr>
      <w:rFonts w:ascii="Arial" w:eastAsia="Times New Roman" w:hAnsi="Arial" w:cs="Arial"/>
      <w:b/>
      <w:bCs/>
      <w:iCs/>
      <w:color w:val="0F4761" w:themeColor="accent1" w:themeShade="BF"/>
      <w:kern w:val="0"/>
      <w:sz w:val="24"/>
      <w:szCs w:val="24"/>
      <w:lang w:val="en-GB"/>
      <w14:ligatures w14:val="none"/>
    </w:rPr>
  </w:style>
  <w:style w:type="paragraph" w:customStyle="1" w:styleId="CHAPHEAD">
    <w:name w:val="CHAPHEAD"/>
    <w:basedOn w:val="Heading1"/>
    <w:link w:val="CHAPHEADChar"/>
    <w:autoRedefine/>
    <w:qFormat/>
    <w:rsid w:val="0050122D"/>
    <w:pPr>
      <w:keepNext w:val="0"/>
      <w:keepLines w:val="0"/>
      <w:pageBreakBefore/>
      <w:spacing w:before="0" w:after="360" w:line="360" w:lineRule="auto"/>
      <w:ind w:left="0" w:firstLine="0"/>
      <w:jc w:val="center"/>
    </w:pPr>
    <w:rPr>
      <w:rFonts w:ascii="Arial Bold" w:eastAsia="Times New Roman" w:hAnsi="Arial Bold" w:cs="Arial"/>
      <w:bCs/>
      <w:caps/>
      <w:kern w:val="32"/>
      <w:sz w:val="24"/>
      <w:szCs w:val="24"/>
      <w14:ligatures w14:val="none"/>
    </w:rPr>
  </w:style>
  <w:style w:type="character" w:customStyle="1" w:styleId="CHAPHEADChar">
    <w:name w:val="CHAPHEAD Char"/>
    <w:basedOn w:val="Heading1Char"/>
    <w:link w:val="CHAPHEAD"/>
    <w:rsid w:val="0050122D"/>
    <w:rPr>
      <w:rFonts w:ascii="Arial Bold" w:eastAsia="Times New Roman" w:hAnsi="Arial Bold" w:cs="Arial"/>
      <w:bCs/>
      <w:caps/>
      <w:color w:val="0F4761" w:themeColor="accent1" w:themeShade="BF"/>
      <w:kern w:val="32"/>
      <w:sz w:val="24"/>
      <w:szCs w:val="24"/>
      <w14:ligatures w14:val="none"/>
    </w:rPr>
  </w:style>
  <w:style w:type="paragraph" w:customStyle="1" w:styleId="TABHEAD">
    <w:name w:val="TABHEAD"/>
    <w:basedOn w:val="Caption"/>
    <w:link w:val="TABHEADChar"/>
    <w:autoRedefine/>
    <w:qFormat/>
    <w:rsid w:val="0050122D"/>
    <w:pPr>
      <w:keepNext/>
      <w:spacing w:before="240" w:after="0" w:line="360" w:lineRule="auto"/>
    </w:pPr>
    <w:rPr>
      <w:rFonts w:ascii="Arial" w:eastAsia="Times New Roman" w:hAnsi="Arial" w:cs="Times New Roman"/>
      <w:b/>
      <w:bCs/>
      <w:i w:val="0"/>
      <w:iCs w:val="0"/>
      <w:color w:val="4F81BD"/>
      <w:kern w:val="0"/>
      <w:sz w:val="24"/>
      <w:szCs w:val="24"/>
      <w14:ligatures w14:val="none"/>
    </w:rPr>
  </w:style>
  <w:style w:type="character" w:customStyle="1" w:styleId="CaptionChar">
    <w:name w:val="Caption Char"/>
    <w:basedOn w:val="DefaultParagraphFont"/>
    <w:link w:val="Caption1"/>
    <w:uiPriority w:val="35"/>
    <w:semiHidden/>
    <w:rsid w:val="0050122D"/>
    <w:rPr>
      <w:rFonts w:ascii="Arial" w:eastAsia="Times New Roman" w:hAnsi="Arial" w:cs="Times New Roman"/>
      <w:b/>
      <w:bCs/>
      <w:color w:val="4F81BD"/>
      <w:kern w:val="0"/>
      <w:sz w:val="18"/>
      <w:szCs w:val="18"/>
      <w14:ligatures w14:val="none"/>
    </w:rPr>
  </w:style>
  <w:style w:type="character" w:customStyle="1" w:styleId="TABHEADChar">
    <w:name w:val="TABHEAD Char"/>
    <w:basedOn w:val="CaptionChar"/>
    <w:link w:val="TABHEAD"/>
    <w:rsid w:val="0050122D"/>
    <w:rPr>
      <w:rFonts w:ascii="Arial" w:eastAsia="Times New Roman" w:hAnsi="Arial" w:cs="Times New Roman"/>
      <w:b/>
      <w:bCs/>
      <w:color w:val="4F81BD"/>
      <w:kern w:val="0"/>
      <w:sz w:val="24"/>
      <w:szCs w:val="24"/>
      <w14:ligatures w14:val="none"/>
    </w:rPr>
  </w:style>
  <w:style w:type="paragraph" w:customStyle="1" w:styleId="FIGHEAD">
    <w:name w:val="FIGHEAD"/>
    <w:basedOn w:val="Caption"/>
    <w:link w:val="FIGHEADChar"/>
    <w:autoRedefine/>
    <w:qFormat/>
    <w:rsid w:val="0050122D"/>
    <w:pPr>
      <w:spacing w:after="0" w:line="360" w:lineRule="auto"/>
    </w:pPr>
    <w:rPr>
      <w:rFonts w:ascii="Arial" w:eastAsia="Times New Roman" w:hAnsi="Arial" w:cs="Times New Roman"/>
      <w:b/>
      <w:bCs/>
      <w:i w:val="0"/>
      <w:iCs w:val="0"/>
      <w:color w:val="4F81BD"/>
      <w:kern w:val="0"/>
      <w:sz w:val="24"/>
      <w:szCs w:val="24"/>
      <w14:ligatures w14:val="none"/>
    </w:rPr>
  </w:style>
  <w:style w:type="character" w:customStyle="1" w:styleId="FIGHEADChar">
    <w:name w:val="FIGHEAD Char"/>
    <w:basedOn w:val="CaptionChar"/>
    <w:link w:val="FIGHEAD"/>
    <w:rsid w:val="0050122D"/>
    <w:rPr>
      <w:rFonts w:ascii="Arial" w:eastAsia="Times New Roman" w:hAnsi="Arial" w:cs="Times New Roman"/>
      <w:b/>
      <w:bCs/>
      <w:color w:val="4F81BD"/>
      <w:kern w:val="0"/>
      <w:sz w:val="24"/>
      <w:szCs w:val="24"/>
      <w14:ligatures w14:val="none"/>
    </w:rPr>
  </w:style>
  <w:style w:type="paragraph" w:customStyle="1" w:styleId="figsource">
    <w:name w:val="figsource"/>
    <w:basedOn w:val="Normal"/>
    <w:link w:val="figsourceChar"/>
    <w:qFormat/>
    <w:rsid w:val="0050122D"/>
    <w:pPr>
      <w:spacing w:after="240" w:line="360" w:lineRule="auto"/>
      <w:jc w:val="both"/>
    </w:pPr>
    <w:rPr>
      <w:rFonts w:ascii="Arial" w:eastAsia="Times New Roman" w:hAnsi="Arial" w:cs="Arial"/>
      <w:bCs/>
      <w:i/>
      <w:iCs/>
      <w:kern w:val="0"/>
      <w:sz w:val="24"/>
      <w:szCs w:val="24"/>
      <w14:ligatures w14:val="none"/>
    </w:rPr>
  </w:style>
  <w:style w:type="character" w:customStyle="1" w:styleId="figsourceChar">
    <w:name w:val="figsource Char"/>
    <w:basedOn w:val="DefaultParagraphFont"/>
    <w:link w:val="figsource"/>
    <w:rsid w:val="0050122D"/>
    <w:rPr>
      <w:rFonts w:ascii="Arial" w:eastAsia="Times New Roman" w:hAnsi="Arial" w:cs="Arial"/>
      <w:bCs/>
      <w:i/>
      <w:iCs/>
      <w:kern w:val="0"/>
      <w:sz w:val="24"/>
      <w:szCs w:val="24"/>
      <w14:ligatures w14:val="none"/>
    </w:rPr>
  </w:style>
  <w:style w:type="paragraph" w:customStyle="1" w:styleId="tabsource">
    <w:name w:val="tabsource"/>
    <w:basedOn w:val="Normal"/>
    <w:link w:val="tabsourceChar"/>
    <w:autoRedefine/>
    <w:qFormat/>
    <w:rsid w:val="0050122D"/>
    <w:pPr>
      <w:spacing w:before="60" w:after="240" w:line="360" w:lineRule="auto"/>
    </w:pPr>
    <w:rPr>
      <w:rFonts w:ascii="Arial" w:eastAsia="Times New Roman" w:hAnsi="Arial" w:cs="Times New Roman"/>
      <w:i/>
      <w:kern w:val="0"/>
      <w:sz w:val="24"/>
      <w:szCs w:val="20"/>
      <w14:ligatures w14:val="none"/>
    </w:rPr>
  </w:style>
  <w:style w:type="character" w:customStyle="1" w:styleId="tabsourceChar">
    <w:name w:val="tabsource Char"/>
    <w:basedOn w:val="DefaultParagraphFont"/>
    <w:link w:val="tabsource"/>
    <w:rsid w:val="0050122D"/>
    <w:rPr>
      <w:rFonts w:ascii="Arial" w:eastAsia="Times New Roman" w:hAnsi="Arial" w:cs="Times New Roman"/>
      <w:i/>
      <w:kern w:val="0"/>
      <w:sz w:val="24"/>
      <w:szCs w:val="20"/>
      <w14:ligatures w14:val="none"/>
    </w:rPr>
  </w:style>
  <w:style w:type="paragraph" w:customStyle="1" w:styleId="H4">
    <w:name w:val="H4"/>
    <w:basedOn w:val="Heading4"/>
    <w:link w:val="H4Char"/>
    <w:autoRedefine/>
    <w:qFormat/>
    <w:rsid w:val="0050122D"/>
    <w:pPr>
      <w:keepLines w:val="0"/>
      <w:spacing w:before="120" w:after="0" w:line="360" w:lineRule="auto"/>
      <w:ind w:left="964" w:hanging="964"/>
      <w:jc w:val="both"/>
    </w:pPr>
    <w:rPr>
      <w:rFonts w:ascii="Arial" w:eastAsia="Calibri" w:hAnsi="Arial" w:cs="Times New Roman"/>
      <w:b/>
      <w:bCs/>
      <w:i w:val="0"/>
      <w:iCs w:val="0"/>
      <w:kern w:val="0"/>
      <w:sz w:val="24"/>
      <w:szCs w:val="24"/>
      <w:lang w:val="en-US" w:eastAsia="en-ZA"/>
      <w14:ligatures w14:val="none"/>
    </w:rPr>
  </w:style>
  <w:style w:type="character" w:customStyle="1" w:styleId="H4Char">
    <w:name w:val="H4 Char"/>
    <w:basedOn w:val="Heading4Char"/>
    <w:link w:val="H4"/>
    <w:rsid w:val="0050122D"/>
    <w:rPr>
      <w:rFonts w:ascii="Arial" w:eastAsia="Calibri" w:hAnsi="Arial" w:cs="Times New Roman"/>
      <w:b/>
      <w:bCs/>
      <w:i w:val="0"/>
      <w:iCs w:val="0"/>
      <w:color w:val="0F4761" w:themeColor="accent1" w:themeShade="BF"/>
      <w:kern w:val="0"/>
      <w:sz w:val="24"/>
      <w:szCs w:val="24"/>
      <w:lang w:val="en-US" w:eastAsia="en-ZA"/>
      <w14:ligatures w14:val="none"/>
    </w:rPr>
  </w:style>
  <w:style w:type="paragraph" w:customStyle="1" w:styleId="H5">
    <w:name w:val="H5"/>
    <w:basedOn w:val="Heading5"/>
    <w:link w:val="H5Char"/>
    <w:autoRedefine/>
    <w:qFormat/>
    <w:rsid w:val="0050122D"/>
    <w:pPr>
      <w:keepLines w:val="0"/>
      <w:tabs>
        <w:tab w:val="left" w:pos="1134"/>
      </w:tabs>
      <w:spacing w:before="120" w:after="0" w:line="360" w:lineRule="auto"/>
      <w:ind w:left="964" w:hanging="964"/>
    </w:pPr>
    <w:rPr>
      <w:rFonts w:ascii="Arial" w:eastAsia="Times New Roman" w:hAnsi="Arial" w:cs="Times New Roman"/>
      <w:bCs/>
      <w:i/>
      <w:iCs/>
      <w:kern w:val="0"/>
      <w:sz w:val="24"/>
      <w:szCs w:val="20"/>
      <w14:ligatures w14:val="none"/>
    </w:rPr>
  </w:style>
  <w:style w:type="character" w:customStyle="1" w:styleId="H5Char">
    <w:name w:val="H5 Char"/>
    <w:basedOn w:val="Heading5Char"/>
    <w:link w:val="H5"/>
    <w:rsid w:val="0050122D"/>
    <w:rPr>
      <w:rFonts w:ascii="Arial" w:eastAsia="Times New Roman" w:hAnsi="Arial" w:cs="Times New Roman"/>
      <w:bCs/>
      <w:i/>
      <w:iCs/>
      <w:color w:val="0F4761" w:themeColor="accent1" w:themeShade="BF"/>
      <w:kern w:val="0"/>
      <w:sz w:val="24"/>
      <w:szCs w:val="20"/>
      <w14:ligatures w14:val="none"/>
    </w:rPr>
  </w:style>
  <w:style w:type="numbering" w:customStyle="1" w:styleId="NoList3">
    <w:name w:val="No List3"/>
    <w:next w:val="NoList"/>
    <w:uiPriority w:val="99"/>
    <w:semiHidden/>
    <w:unhideWhenUsed/>
    <w:rsid w:val="0050122D"/>
  </w:style>
  <w:style w:type="numbering" w:customStyle="1" w:styleId="1111111">
    <w:name w:val="1 / 1.1 / 1.1.11"/>
    <w:basedOn w:val="NoList"/>
    <w:next w:val="111111"/>
    <w:semiHidden/>
    <w:rsid w:val="0050122D"/>
  </w:style>
  <w:style w:type="numbering" w:customStyle="1" w:styleId="1ai1">
    <w:name w:val="1 / a / i1"/>
    <w:basedOn w:val="NoList"/>
    <w:next w:val="1ai"/>
    <w:semiHidden/>
    <w:rsid w:val="0050122D"/>
  </w:style>
  <w:style w:type="numbering" w:customStyle="1" w:styleId="ArticleSection1">
    <w:name w:val="Article / Section1"/>
    <w:basedOn w:val="NoList"/>
    <w:next w:val="ArticleSection"/>
    <w:semiHidden/>
    <w:rsid w:val="0050122D"/>
  </w:style>
  <w:style w:type="numbering" w:customStyle="1" w:styleId="List1231">
    <w:name w:val="List 1231"/>
    <w:uiPriority w:val="99"/>
    <w:rsid w:val="0050122D"/>
  </w:style>
  <w:style w:type="numbering" w:customStyle="1" w:styleId="Tableabc8small-1">
    <w:name w:val="Table_abc_8_small-1"/>
    <w:uiPriority w:val="99"/>
    <w:rsid w:val="0050122D"/>
  </w:style>
  <w:style w:type="numbering" w:customStyle="1" w:styleId="Style29">
    <w:name w:val="Style29"/>
    <w:uiPriority w:val="99"/>
    <w:rsid w:val="0050122D"/>
  </w:style>
  <w:style w:type="numbering" w:customStyle="1" w:styleId="Style211">
    <w:name w:val="Style211"/>
    <w:uiPriority w:val="99"/>
    <w:rsid w:val="0050122D"/>
  </w:style>
  <w:style w:type="numbering" w:customStyle="1" w:styleId="Style221">
    <w:name w:val="Style221"/>
    <w:uiPriority w:val="99"/>
    <w:rsid w:val="0050122D"/>
  </w:style>
  <w:style w:type="numbering" w:customStyle="1" w:styleId="NoList1111">
    <w:name w:val="No List1111"/>
    <w:next w:val="NoList"/>
    <w:uiPriority w:val="99"/>
    <w:semiHidden/>
    <w:unhideWhenUsed/>
    <w:rsid w:val="0050122D"/>
  </w:style>
  <w:style w:type="numbering" w:customStyle="1" w:styleId="NoList21">
    <w:name w:val="No List21"/>
    <w:next w:val="NoList"/>
    <w:uiPriority w:val="99"/>
    <w:semiHidden/>
    <w:unhideWhenUsed/>
    <w:rsid w:val="0050122D"/>
  </w:style>
  <w:style w:type="numbering" w:customStyle="1" w:styleId="Style231">
    <w:name w:val="Style231"/>
    <w:uiPriority w:val="99"/>
    <w:rsid w:val="0050122D"/>
  </w:style>
  <w:style w:type="numbering" w:customStyle="1" w:styleId="Style241">
    <w:name w:val="Style241"/>
    <w:uiPriority w:val="99"/>
    <w:rsid w:val="0050122D"/>
  </w:style>
  <w:style w:type="numbering" w:customStyle="1" w:styleId="Style251">
    <w:name w:val="Style251"/>
    <w:uiPriority w:val="99"/>
    <w:rsid w:val="0050122D"/>
  </w:style>
  <w:style w:type="numbering" w:customStyle="1" w:styleId="Style261">
    <w:name w:val="Style261"/>
    <w:uiPriority w:val="99"/>
    <w:rsid w:val="0050122D"/>
  </w:style>
  <w:style w:type="numbering" w:customStyle="1" w:styleId="Style271">
    <w:name w:val="Style271"/>
    <w:uiPriority w:val="99"/>
    <w:rsid w:val="0050122D"/>
  </w:style>
  <w:style w:type="numbering" w:customStyle="1" w:styleId="Style281">
    <w:name w:val="Style281"/>
    <w:uiPriority w:val="99"/>
    <w:rsid w:val="0050122D"/>
  </w:style>
  <w:style w:type="character" w:styleId="Emphasis">
    <w:name w:val="Emphasis"/>
    <w:basedOn w:val="DefaultParagraphFont"/>
    <w:uiPriority w:val="20"/>
    <w:qFormat/>
    <w:rsid w:val="0050122D"/>
    <w:rPr>
      <w:i/>
      <w:iCs/>
    </w:rPr>
  </w:style>
  <w:style w:type="character" w:customStyle="1" w:styleId="TitleChar1">
    <w:name w:val="Title Char1"/>
    <w:basedOn w:val="DefaultParagraphFont"/>
    <w:uiPriority w:val="10"/>
    <w:rsid w:val="0050122D"/>
    <w:rPr>
      <w:rFonts w:ascii="Calibri Light" w:eastAsia="Times New Roman" w:hAnsi="Calibri Light" w:cs="Times New Roman"/>
      <w:spacing w:val="-10"/>
      <w:kern w:val="28"/>
      <w:sz w:val="56"/>
      <w:szCs w:val="56"/>
    </w:rPr>
  </w:style>
  <w:style w:type="character" w:customStyle="1" w:styleId="IntenseQuoteChar2">
    <w:name w:val="Intense Quote Char2"/>
    <w:basedOn w:val="DefaultParagraphFont"/>
    <w:uiPriority w:val="30"/>
    <w:rsid w:val="0050122D"/>
    <w:rPr>
      <w:i/>
      <w:iCs/>
      <w:color w:val="5B9BD5"/>
    </w:rPr>
  </w:style>
  <w:style w:type="paragraph" w:customStyle="1" w:styleId="Caption2">
    <w:name w:val="Caption2"/>
    <w:basedOn w:val="Normal"/>
    <w:next w:val="Normal"/>
    <w:uiPriority w:val="35"/>
    <w:semiHidden/>
    <w:unhideWhenUsed/>
    <w:qFormat/>
    <w:rsid w:val="0050122D"/>
    <w:pPr>
      <w:spacing w:after="200" w:line="240" w:lineRule="auto"/>
    </w:pPr>
    <w:rPr>
      <w:i/>
      <w:iCs/>
      <w:color w:val="44546A"/>
      <w:kern w:val="0"/>
      <w:sz w:val="18"/>
      <w:szCs w:val="18"/>
      <w14:ligatures w14:val="none"/>
    </w:rPr>
  </w:style>
  <w:style w:type="numbering" w:customStyle="1" w:styleId="NoList4">
    <w:name w:val="No List4"/>
    <w:next w:val="NoList"/>
    <w:uiPriority w:val="99"/>
    <w:semiHidden/>
    <w:unhideWhenUsed/>
    <w:rsid w:val="0050122D"/>
  </w:style>
  <w:style w:type="numbering" w:customStyle="1" w:styleId="1111112">
    <w:name w:val="1 / 1.1 / 1.1.12"/>
    <w:basedOn w:val="NoList"/>
    <w:next w:val="111111"/>
    <w:semiHidden/>
    <w:rsid w:val="0050122D"/>
  </w:style>
  <w:style w:type="numbering" w:customStyle="1" w:styleId="1ai2">
    <w:name w:val="1 / a / i2"/>
    <w:basedOn w:val="NoList"/>
    <w:next w:val="1ai"/>
    <w:semiHidden/>
    <w:rsid w:val="0050122D"/>
  </w:style>
  <w:style w:type="numbering" w:customStyle="1" w:styleId="ArticleSection2">
    <w:name w:val="Article / Section2"/>
    <w:basedOn w:val="NoList"/>
    <w:next w:val="ArticleSection"/>
    <w:semiHidden/>
    <w:rsid w:val="0050122D"/>
  </w:style>
  <w:style w:type="table" w:customStyle="1" w:styleId="TableGrid15">
    <w:name w:val="Table Grid15"/>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Figures2">
    <w:name w:val="Table of Figures2"/>
    <w:basedOn w:val="Normal"/>
    <w:next w:val="Normal"/>
    <w:autoRedefine/>
    <w:uiPriority w:val="99"/>
    <w:rsid w:val="0050122D"/>
    <w:pPr>
      <w:tabs>
        <w:tab w:val="right" w:leader="dot" w:pos="9345"/>
      </w:tabs>
      <w:spacing w:after="120" w:line="360" w:lineRule="auto"/>
      <w:ind w:right="567"/>
    </w:pPr>
    <w:rPr>
      <w:rFonts w:ascii="Arial" w:eastAsia="Times New Roman" w:hAnsi="Arial" w:cs="Calibri"/>
      <w:iCs/>
      <w:noProof/>
      <w:kern w:val="0"/>
      <w:sz w:val="24"/>
      <w:szCs w:val="20"/>
      <w14:ligatures w14:val="none"/>
    </w:rPr>
  </w:style>
  <w:style w:type="numbering" w:customStyle="1" w:styleId="List1232">
    <w:name w:val="List 1232"/>
    <w:uiPriority w:val="99"/>
    <w:rsid w:val="0050122D"/>
  </w:style>
  <w:style w:type="numbering" w:customStyle="1" w:styleId="Tableabc8small-2">
    <w:name w:val="Table_abc_8_small-2"/>
    <w:uiPriority w:val="99"/>
    <w:rsid w:val="0050122D"/>
  </w:style>
  <w:style w:type="table" w:customStyle="1" w:styleId="TableGrid16">
    <w:name w:val="Table Grid16"/>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0">
    <w:name w:val="Style210"/>
    <w:uiPriority w:val="99"/>
    <w:rsid w:val="0050122D"/>
  </w:style>
  <w:style w:type="numbering" w:customStyle="1" w:styleId="Style212">
    <w:name w:val="Style212"/>
    <w:uiPriority w:val="99"/>
    <w:rsid w:val="0050122D"/>
  </w:style>
  <w:style w:type="numbering" w:customStyle="1" w:styleId="Style222">
    <w:name w:val="Style222"/>
    <w:uiPriority w:val="99"/>
    <w:rsid w:val="0050122D"/>
  </w:style>
  <w:style w:type="numbering" w:customStyle="1" w:styleId="NoList12">
    <w:name w:val="No List12"/>
    <w:next w:val="NoList"/>
    <w:uiPriority w:val="99"/>
    <w:semiHidden/>
    <w:unhideWhenUsed/>
    <w:rsid w:val="0050122D"/>
  </w:style>
  <w:style w:type="table" w:customStyle="1" w:styleId="TableGrid113">
    <w:name w:val="Table Grid113"/>
    <w:basedOn w:val="TableNormal"/>
    <w:next w:val="TableGrid"/>
    <w:uiPriority w:val="39"/>
    <w:rsid w:val="0050122D"/>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50122D"/>
  </w:style>
  <w:style w:type="numbering" w:customStyle="1" w:styleId="Style232">
    <w:name w:val="Style232"/>
    <w:uiPriority w:val="99"/>
    <w:rsid w:val="0050122D"/>
  </w:style>
  <w:style w:type="numbering" w:customStyle="1" w:styleId="Style242">
    <w:name w:val="Style242"/>
    <w:uiPriority w:val="99"/>
    <w:rsid w:val="0050122D"/>
  </w:style>
  <w:style w:type="numbering" w:customStyle="1" w:styleId="Style252">
    <w:name w:val="Style252"/>
    <w:uiPriority w:val="99"/>
    <w:rsid w:val="0050122D"/>
  </w:style>
  <w:style w:type="numbering" w:customStyle="1" w:styleId="Style262">
    <w:name w:val="Style262"/>
    <w:uiPriority w:val="99"/>
    <w:rsid w:val="0050122D"/>
  </w:style>
  <w:style w:type="numbering" w:customStyle="1" w:styleId="Style272">
    <w:name w:val="Style272"/>
    <w:uiPriority w:val="99"/>
    <w:rsid w:val="0050122D"/>
  </w:style>
  <w:style w:type="numbering" w:customStyle="1" w:styleId="Style282">
    <w:name w:val="Style282"/>
    <w:uiPriority w:val="99"/>
    <w:rsid w:val="0050122D"/>
  </w:style>
  <w:style w:type="paragraph" w:customStyle="1" w:styleId="TOCHeading2">
    <w:name w:val="TOC Heading2"/>
    <w:basedOn w:val="Heading1"/>
    <w:next w:val="Normal"/>
    <w:uiPriority w:val="39"/>
    <w:unhideWhenUsed/>
    <w:qFormat/>
    <w:rsid w:val="0050122D"/>
    <w:pPr>
      <w:spacing w:before="240" w:after="0"/>
      <w:ind w:left="0" w:firstLine="0"/>
      <w:outlineLvl w:val="9"/>
    </w:pPr>
    <w:rPr>
      <w:kern w:val="0"/>
      <w:sz w:val="32"/>
      <w:szCs w:val="32"/>
      <w:lang w:val="en-US"/>
      <w14:ligatures w14:val="none"/>
    </w:rPr>
  </w:style>
  <w:style w:type="numbering" w:customStyle="1" w:styleId="NoList31">
    <w:name w:val="No List31"/>
    <w:next w:val="NoList"/>
    <w:uiPriority w:val="99"/>
    <w:semiHidden/>
    <w:unhideWhenUsed/>
    <w:rsid w:val="0050122D"/>
  </w:style>
  <w:style w:type="numbering" w:customStyle="1" w:styleId="11111111">
    <w:name w:val="1 / 1.1 / 1.1.111"/>
    <w:basedOn w:val="NoList"/>
    <w:next w:val="111111"/>
    <w:semiHidden/>
    <w:rsid w:val="0050122D"/>
  </w:style>
  <w:style w:type="numbering" w:customStyle="1" w:styleId="1ai11">
    <w:name w:val="1 / a / i11"/>
    <w:basedOn w:val="NoList"/>
    <w:next w:val="1ai"/>
    <w:semiHidden/>
    <w:rsid w:val="0050122D"/>
  </w:style>
  <w:style w:type="numbering" w:customStyle="1" w:styleId="ArticleSection11">
    <w:name w:val="Article / Section11"/>
    <w:basedOn w:val="NoList"/>
    <w:next w:val="ArticleSection"/>
    <w:semiHidden/>
    <w:rsid w:val="0050122D"/>
  </w:style>
  <w:style w:type="numbering" w:customStyle="1" w:styleId="List12311">
    <w:name w:val="List 12311"/>
    <w:uiPriority w:val="99"/>
    <w:rsid w:val="0050122D"/>
  </w:style>
  <w:style w:type="numbering" w:customStyle="1" w:styleId="Tableabc8small-11">
    <w:name w:val="Table_abc_8_small-11"/>
    <w:uiPriority w:val="99"/>
    <w:rsid w:val="0050122D"/>
  </w:style>
  <w:style w:type="numbering" w:customStyle="1" w:styleId="Style291">
    <w:name w:val="Style291"/>
    <w:uiPriority w:val="99"/>
    <w:rsid w:val="0050122D"/>
  </w:style>
  <w:style w:type="numbering" w:customStyle="1" w:styleId="Style2111">
    <w:name w:val="Style2111"/>
    <w:uiPriority w:val="99"/>
    <w:rsid w:val="0050122D"/>
  </w:style>
  <w:style w:type="numbering" w:customStyle="1" w:styleId="Style2211">
    <w:name w:val="Style2211"/>
    <w:uiPriority w:val="99"/>
    <w:rsid w:val="0050122D"/>
  </w:style>
  <w:style w:type="numbering" w:customStyle="1" w:styleId="NoList112">
    <w:name w:val="No List112"/>
    <w:next w:val="NoList"/>
    <w:uiPriority w:val="99"/>
    <w:semiHidden/>
    <w:unhideWhenUsed/>
    <w:rsid w:val="0050122D"/>
  </w:style>
  <w:style w:type="numbering" w:customStyle="1" w:styleId="NoList211">
    <w:name w:val="No List211"/>
    <w:next w:val="NoList"/>
    <w:uiPriority w:val="99"/>
    <w:semiHidden/>
    <w:unhideWhenUsed/>
    <w:rsid w:val="0050122D"/>
  </w:style>
  <w:style w:type="numbering" w:customStyle="1" w:styleId="Style2311">
    <w:name w:val="Style2311"/>
    <w:uiPriority w:val="99"/>
    <w:rsid w:val="0050122D"/>
  </w:style>
  <w:style w:type="numbering" w:customStyle="1" w:styleId="Style2411">
    <w:name w:val="Style2411"/>
    <w:uiPriority w:val="99"/>
    <w:rsid w:val="0050122D"/>
  </w:style>
  <w:style w:type="numbering" w:customStyle="1" w:styleId="Style2511">
    <w:name w:val="Style2511"/>
    <w:uiPriority w:val="99"/>
    <w:rsid w:val="0050122D"/>
  </w:style>
  <w:style w:type="numbering" w:customStyle="1" w:styleId="Style2611">
    <w:name w:val="Style2611"/>
    <w:uiPriority w:val="99"/>
    <w:rsid w:val="0050122D"/>
  </w:style>
  <w:style w:type="numbering" w:customStyle="1" w:styleId="Style2711">
    <w:name w:val="Style2711"/>
    <w:uiPriority w:val="99"/>
    <w:rsid w:val="0050122D"/>
  </w:style>
  <w:style w:type="numbering" w:customStyle="1" w:styleId="Style2811">
    <w:name w:val="Style2811"/>
    <w:uiPriority w:val="99"/>
    <w:rsid w:val="0050122D"/>
  </w:style>
  <w:style w:type="numbering" w:customStyle="1" w:styleId="NoList5">
    <w:name w:val="No List5"/>
    <w:next w:val="NoList"/>
    <w:uiPriority w:val="99"/>
    <w:semiHidden/>
    <w:unhideWhenUsed/>
    <w:rsid w:val="0050122D"/>
  </w:style>
  <w:style w:type="numbering" w:customStyle="1" w:styleId="1111113">
    <w:name w:val="1 / 1.1 / 1.1.13"/>
    <w:basedOn w:val="NoList"/>
    <w:next w:val="111111"/>
    <w:semiHidden/>
    <w:rsid w:val="0050122D"/>
  </w:style>
  <w:style w:type="numbering" w:customStyle="1" w:styleId="1ai3">
    <w:name w:val="1 / a / i3"/>
    <w:basedOn w:val="NoList"/>
    <w:next w:val="1ai"/>
    <w:semiHidden/>
    <w:rsid w:val="0050122D"/>
  </w:style>
  <w:style w:type="numbering" w:customStyle="1" w:styleId="ArticleSection3">
    <w:name w:val="Article / Section3"/>
    <w:basedOn w:val="NoList"/>
    <w:next w:val="ArticleSection"/>
    <w:semiHidden/>
    <w:rsid w:val="0050122D"/>
  </w:style>
  <w:style w:type="table" w:customStyle="1" w:styleId="TableGrid17">
    <w:name w:val="Table Grid17"/>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Figures3">
    <w:name w:val="Table of Figures3"/>
    <w:basedOn w:val="Normal"/>
    <w:next w:val="Normal"/>
    <w:autoRedefine/>
    <w:uiPriority w:val="99"/>
    <w:rsid w:val="0050122D"/>
    <w:pPr>
      <w:tabs>
        <w:tab w:val="right" w:leader="dot" w:pos="9345"/>
      </w:tabs>
      <w:spacing w:after="120" w:line="360" w:lineRule="auto"/>
      <w:ind w:right="567"/>
    </w:pPr>
    <w:rPr>
      <w:rFonts w:ascii="Arial" w:eastAsia="Times New Roman" w:hAnsi="Arial" w:cs="Calibri"/>
      <w:iCs/>
      <w:noProof/>
      <w:kern w:val="0"/>
      <w:sz w:val="24"/>
      <w:szCs w:val="20"/>
      <w14:ligatures w14:val="none"/>
    </w:rPr>
  </w:style>
  <w:style w:type="numbering" w:customStyle="1" w:styleId="List1233">
    <w:name w:val="List 1233"/>
    <w:uiPriority w:val="99"/>
    <w:rsid w:val="0050122D"/>
  </w:style>
  <w:style w:type="numbering" w:customStyle="1" w:styleId="Tableabc8small-3">
    <w:name w:val="Table_abc_8_small-3"/>
    <w:uiPriority w:val="99"/>
    <w:rsid w:val="0050122D"/>
  </w:style>
  <w:style w:type="table" w:customStyle="1" w:styleId="TableGrid18">
    <w:name w:val="Table Grid18"/>
    <w:basedOn w:val="TableNormal"/>
    <w:next w:val="TableGrid"/>
    <w:uiPriority w:val="59"/>
    <w:rsid w:val="005012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
    <w:name w:val="Style213"/>
    <w:uiPriority w:val="99"/>
    <w:rsid w:val="0050122D"/>
  </w:style>
  <w:style w:type="numbering" w:customStyle="1" w:styleId="Style214">
    <w:name w:val="Style214"/>
    <w:uiPriority w:val="99"/>
    <w:rsid w:val="0050122D"/>
  </w:style>
  <w:style w:type="numbering" w:customStyle="1" w:styleId="Style223">
    <w:name w:val="Style223"/>
    <w:uiPriority w:val="99"/>
    <w:rsid w:val="0050122D"/>
  </w:style>
  <w:style w:type="numbering" w:customStyle="1" w:styleId="NoList13">
    <w:name w:val="No List13"/>
    <w:next w:val="NoList"/>
    <w:uiPriority w:val="99"/>
    <w:semiHidden/>
    <w:unhideWhenUsed/>
    <w:rsid w:val="0050122D"/>
  </w:style>
  <w:style w:type="table" w:customStyle="1" w:styleId="TableGrid114">
    <w:name w:val="Table Grid114"/>
    <w:basedOn w:val="TableNormal"/>
    <w:next w:val="TableGrid"/>
    <w:uiPriority w:val="39"/>
    <w:rsid w:val="0050122D"/>
    <w:pPr>
      <w:spacing w:after="0" w:line="240" w:lineRule="auto"/>
    </w:pPr>
    <w:rPr>
      <w:rFonts w:ascii="Aptos" w:eastAsia="Aptos" w:hAnsi="Apto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50122D"/>
    <w:pPr>
      <w:spacing w:after="120" w:line="240" w:lineRule="auto"/>
      <w:jc w:val="both"/>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0122D"/>
  </w:style>
  <w:style w:type="numbering" w:customStyle="1" w:styleId="Style233">
    <w:name w:val="Style233"/>
    <w:uiPriority w:val="99"/>
    <w:rsid w:val="0050122D"/>
  </w:style>
  <w:style w:type="numbering" w:customStyle="1" w:styleId="Style243">
    <w:name w:val="Style243"/>
    <w:uiPriority w:val="99"/>
    <w:rsid w:val="0050122D"/>
  </w:style>
  <w:style w:type="numbering" w:customStyle="1" w:styleId="Style253">
    <w:name w:val="Style253"/>
    <w:uiPriority w:val="99"/>
    <w:rsid w:val="0050122D"/>
  </w:style>
  <w:style w:type="numbering" w:customStyle="1" w:styleId="Style263">
    <w:name w:val="Style263"/>
    <w:uiPriority w:val="99"/>
    <w:rsid w:val="0050122D"/>
  </w:style>
  <w:style w:type="numbering" w:customStyle="1" w:styleId="Style273">
    <w:name w:val="Style273"/>
    <w:uiPriority w:val="99"/>
    <w:rsid w:val="0050122D"/>
  </w:style>
  <w:style w:type="numbering" w:customStyle="1" w:styleId="Style283">
    <w:name w:val="Style283"/>
    <w:uiPriority w:val="99"/>
    <w:rsid w:val="0050122D"/>
  </w:style>
  <w:style w:type="paragraph" w:customStyle="1" w:styleId="TOCHeading3">
    <w:name w:val="TOC Heading3"/>
    <w:basedOn w:val="Heading1"/>
    <w:next w:val="Normal"/>
    <w:uiPriority w:val="39"/>
    <w:unhideWhenUsed/>
    <w:qFormat/>
    <w:rsid w:val="0050122D"/>
    <w:pPr>
      <w:spacing w:before="240" w:after="0"/>
      <w:ind w:left="0" w:firstLine="0"/>
      <w:outlineLvl w:val="9"/>
    </w:pPr>
    <w:rPr>
      <w:kern w:val="0"/>
      <w:sz w:val="32"/>
      <w:szCs w:val="32"/>
      <w:lang w:val="en-US"/>
      <w14:ligatures w14:val="none"/>
    </w:rPr>
  </w:style>
  <w:style w:type="numbering" w:customStyle="1" w:styleId="NoList32">
    <w:name w:val="No List32"/>
    <w:next w:val="NoList"/>
    <w:uiPriority w:val="99"/>
    <w:semiHidden/>
    <w:unhideWhenUsed/>
    <w:rsid w:val="0050122D"/>
  </w:style>
  <w:style w:type="numbering" w:customStyle="1" w:styleId="11111112">
    <w:name w:val="1 / 1.1 / 1.1.112"/>
    <w:basedOn w:val="NoList"/>
    <w:next w:val="111111"/>
    <w:semiHidden/>
    <w:rsid w:val="0050122D"/>
  </w:style>
  <w:style w:type="numbering" w:customStyle="1" w:styleId="1ai12">
    <w:name w:val="1 / a / i12"/>
    <w:basedOn w:val="NoList"/>
    <w:next w:val="1ai"/>
    <w:semiHidden/>
    <w:rsid w:val="0050122D"/>
  </w:style>
  <w:style w:type="numbering" w:customStyle="1" w:styleId="ArticleSection12">
    <w:name w:val="Article / Section12"/>
    <w:basedOn w:val="NoList"/>
    <w:next w:val="ArticleSection"/>
    <w:semiHidden/>
    <w:rsid w:val="0050122D"/>
  </w:style>
  <w:style w:type="numbering" w:customStyle="1" w:styleId="List12312">
    <w:name w:val="List 12312"/>
    <w:uiPriority w:val="99"/>
    <w:rsid w:val="0050122D"/>
  </w:style>
  <w:style w:type="numbering" w:customStyle="1" w:styleId="Tableabc8small-12">
    <w:name w:val="Table_abc_8_small-12"/>
    <w:uiPriority w:val="99"/>
    <w:rsid w:val="0050122D"/>
  </w:style>
  <w:style w:type="numbering" w:customStyle="1" w:styleId="Style292">
    <w:name w:val="Style292"/>
    <w:uiPriority w:val="99"/>
    <w:rsid w:val="0050122D"/>
  </w:style>
  <w:style w:type="numbering" w:customStyle="1" w:styleId="Style2112">
    <w:name w:val="Style2112"/>
    <w:uiPriority w:val="99"/>
    <w:rsid w:val="0050122D"/>
  </w:style>
  <w:style w:type="numbering" w:customStyle="1" w:styleId="Style2212">
    <w:name w:val="Style2212"/>
    <w:uiPriority w:val="99"/>
    <w:rsid w:val="0050122D"/>
  </w:style>
  <w:style w:type="numbering" w:customStyle="1" w:styleId="NoList113">
    <w:name w:val="No List113"/>
    <w:next w:val="NoList"/>
    <w:uiPriority w:val="99"/>
    <w:semiHidden/>
    <w:unhideWhenUsed/>
    <w:rsid w:val="0050122D"/>
  </w:style>
  <w:style w:type="numbering" w:customStyle="1" w:styleId="NoList212">
    <w:name w:val="No List212"/>
    <w:next w:val="NoList"/>
    <w:uiPriority w:val="99"/>
    <w:semiHidden/>
    <w:unhideWhenUsed/>
    <w:rsid w:val="0050122D"/>
  </w:style>
  <w:style w:type="numbering" w:customStyle="1" w:styleId="Style2312">
    <w:name w:val="Style2312"/>
    <w:uiPriority w:val="99"/>
    <w:rsid w:val="0050122D"/>
  </w:style>
  <w:style w:type="numbering" w:customStyle="1" w:styleId="Style2412">
    <w:name w:val="Style2412"/>
    <w:uiPriority w:val="99"/>
    <w:rsid w:val="0050122D"/>
  </w:style>
  <w:style w:type="numbering" w:customStyle="1" w:styleId="Style2512">
    <w:name w:val="Style2512"/>
    <w:uiPriority w:val="99"/>
    <w:rsid w:val="0050122D"/>
  </w:style>
  <w:style w:type="numbering" w:customStyle="1" w:styleId="Style2612">
    <w:name w:val="Style2612"/>
    <w:uiPriority w:val="99"/>
    <w:rsid w:val="0050122D"/>
  </w:style>
  <w:style w:type="numbering" w:customStyle="1" w:styleId="Style2712">
    <w:name w:val="Style2712"/>
    <w:uiPriority w:val="99"/>
    <w:rsid w:val="0050122D"/>
  </w:style>
  <w:style w:type="numbering" w:customStyle="1" w:styleId="Style2812">
    <w:name w:val="Style2812"/>
    <w:uiPriority w:val="99"/>
    <w:rsid w:val="0050122D"/>
  </w:style>
  <w:style w:type="character" w:styleId="Hyperlink">
    <w:name w:val="Hyperlink"/>
    <w:basedOn w:val="DefaultParagraphFont"/>
    <w:uiPriority w:val="99"/>
    <w:unhideWhenUsed/>
    <w:rsid w:val="0050122D"/>
    <w:rPr>
      <w:color w:val="467886" w:themeColor="hyperlink"/>
      <w:u w:val="single"/>
    </w:rPr>
  </w:style>
  <w:style w:type="paragraph" w:styleId="Caption">
    <w:name w:val="caption"/>
    <w:basedOn w:val="Normal"/>
    <w:next w:val="Normal"/>
    <w:uiPriority w:val="35"/>
    <w:semiHidden/>
    <w:unhideWhenUsed/>
    <w:qFormat/>
    <w:rsid w:val="0050122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479/ijefi.21102"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akentsi@gmail.com" TargetMode="Externa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79772a-82d6-468a-86d6-22ff1101ba48}" enabled="1" method="Privileged" siteId="{e0ba2eba-5425-4d9b-b24b-f0f4845bcf62}"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32</Pages>
  <Words>10238</Words>
  <Characters>58360</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Siyakudumisa Takentsi</dc:creator>
  <cp:keywords/>
  <dc:description/>
  <cp:lastModifiedBy>Ilhan Ozturk</cp:lastModifiedBy>
  <cp:revision>6</cp:revision>
  <dcterms:created xsi:type="dcterms:W3CDTF">2025-09-27T10:51:00Z</dcterms:created>
  <dcterms:modified xsi:type="dcterms:W3CDTF">2025-11-07T11:03:00Z</dcterms:modified>
</cp:coreProperties>
</file>