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A0F95" w14:textId="2EFEA20B" w:rsidR="00D460AE" w:rsidRPr="00076670" w:rsidRDefault="00000000" w:rsidP="00076670">
      <w:pPr>
        <w:spacing w:after="0"/>
        <w:ind w:right="-29"/>
        <w:jc w:val="both"/>
        <w:rPr>
          <w:rFonts w:ascii="Times New Roman" w:hAnsi="Times New Roman" w:cs="Times New Roman"/>
          <w:b/>
          <w:color w:val="000000"/>
          <w:sz w:val="32"/>
          <w:szCs w:val="32"/>
        </w:rPr>
      </w:pPr>
      <w:r w:rsidRPr="00076670">
        <w:rPr>
          <w:rFonts w:ascii="Times New Roman" w:hAnsi="Times New Roman" w:cs="Times New Roman"/>
          <w:b/>
          <w:i/>
          <w:color w:val="000000"/>
          <w:sz w:val="32"/>
          <w:szCs w:val="32"/>
        </w:rPr>
        <w:t>Tribulus Terrestris</w:t>
      </w:r>
      <w:r w:rsidRPr="00076670">
        <w:rPr>
          <w:rFonts w:ascii="Times New Roman" w:hAnsi="Times New Roman" w:cs="Times New Roman"/>
          <w:b/>
          <w:color w:val="000000"/>
          <w:sz w:val="32"/>
          <w:szCs w:val="32"/>
        </w:rPr>
        <w:t xml:space="preserve"> </w:t>
      </w:r>
      <w:r w:rsidR="00076670" w:rsidRPr="00076670">
        <w:rPr>
          <w:rFonts w:ascii="Times New Roman" w:hAnsi="Times New Roman" w:cs="Times New Roman"/>
          <w:b/>
          <w:color w:val="000000"/>
          <w:sz w:val="32"/>
          <w:szCs w:val="32"/>
        </w:rPr>
        <w:t xml:space="preserve">Extract Jellies: </w:t>
      </w:r>
      <w:r w:rsidRPr="00076670">
        <w:rPr>
          <w:rFonts w:ascii="Times New Roman" w:hAnsi="Times New Roman" w:cs="Times New Roman"/>
          <w:b/>
          <w:color w:val="000000"/>
          <w:sz w:val="32"/>
          <w:szCs w:val="32"/>
        </w:rPr>
        <w:t xml:space="preserve">A </w:t>
      </w:r>
      <w:r w:rsidR="00076670" w:rsidRPr="00076670">
        <w:rPr>
          <w:rFonts w:ascii="Times New Roman" w:hAnsi="Times New Roman" w:cs="Times New Roman"/>
          <w:b/>
          <w:color w:val="000000"/>
          <w:sz w:val="32"/>
          <w:szCs w:val="32"/>
        </w:rPr>
        <w:t>Novel Approach for Alleviating Polycystic Ovarian Syndrome.</w:t>
      </w:r>
    </w:p>
    <w:p w14:paraId="4B9DDF7B" w14:textId="77777777" w:rsidR="00076670" w:rsidRDefault="00076670" w:rsidP="00076670">
      <w:pPr>
        <w:spacing w:after="0"/>
        <w:ind w:right="-29"/>
        <w:jc w:val="both"/>
        <w:rPr>
          <w:rFonts w:ascii="Times New Roman" w:hAnsi="Times New Roman" w:cs="Times New Roman"/>
          <w:b/>
          <w:color w:val="000000"/>
          <w:sz w:val="20"/>
          <w:szCs w:val="20"/>
        </w:rPr>
      </w:pPr>
    </w:p>
    <w:p w14:paraId="21148FBD" w14:textId="332272E1" w:rsidR="00D460AE" w:rsidRPr="00076670" w:rsidRDefault="00000000" w:rsidP="00076670">
      <w:pPr>
        <w:spacing w:after="0"/>
        <w:ind w:right="-29"/>
        <w:jc w:val="both"/>
        <w:rPr>
          <w:rFonts w:ascii="Times New Roman" w:hAnsi="Times New Roman" w:cs="Times New Roman"/>
          <w:b/>
          <w:color w:val="000000"/>
          <w:sz w:val="20"/>
          <w:szCs w:val="20"/>
        </w:rPr>
      </w:pPr>
      <w:r w:rsidRPr="00076670">
        <w:rPr>
          <w:rFonts w:ascii="Times New Roman" w:hAnsi="Times New Roman" w:cs="Times New Roman"/>
          <w:b/>
          <w:color w:val="000000"/>
          <w:sz w:val="20"/>
          <w:szCs w:val="20"/>
        </w:rPr>
        <w:t xml:space="preserve">Kanchan M. Khedkar*, Dr. Shekhar V. Kokate, Dr Yogesh.V.Ushir, Mahima S. Patil, </w:t>
      </w:r>
    </w:p>
    <w:p w14:paraId="2CDAF983" w14:textId="77777777" w:rsidR="00D460AE" w:rsidRPr="00076670" w:rsidRDefault="00000000" w:rsidP="00076670">
      <w:pPr>
        <w:spacing w:after="0"/>
        <w:ind w:right="-29"/>
        <w:jc w:val="both"/>
        <w:rPr>
          <w:rFonts w:ascii="Times New Roman" w:hAnsi="Times New Roman" w:cs="Times New Roman"/>
          <w:bCs/>
          <w:color w:val="000000"/>
          <w:sz w:val="20"/>
          <w:szCs w:val="20"/>
        </w:rPr>
      </w:pPr>
      <w:r w:rsidRPr="00076670">
        <w:rPr>
          <w:rFonts w:ascii="Times New Roman" w:hAnsi="Times New Roman" w:cs="Times New Roman"/>
          <w:bCs/>
          <w:color w:val="000000"/>
          <w:sz w:val="20"/>
          <w:szCs w:val="20"/>
        </w:rPr>
        <w:t>SMBT College of Pharmacy, Nandi Hills, Dhamangaon, Taluka- Igatpuri, Dist- Nashik, Maharashtra, India-422403.</w:t>
      </w:r>
    </w:p>
    <w:p w14:paraId="67FEC041" w14:textId="77777777" w:rsidR="00076670" w:rsidRDefault="00076670" w:rsidP="00076670">
      <w:pPr>
        <w:spacing w:after="0"/>
        <w:ind w:right="-29"/>
        <w:jc w:val="both"/>
        <w:rPr>
          <w:rFonts w:ascii="Times New Roman" w:hAnsi="Times New Roman" w:cs="Times New Roman"/>
          <w:b/>
          <w:color w:val="000000"/>
          <w:sz w:val="20"/>
          <w:szCs w:val="20"/>
        </w:rPr>
      </w:pPr>
    </w:p>
    <w:p w14:paraId="6C16F37B" w14:textId="77777777" w:rsidR="00076670" w:rsidRPr="00F103F8" w:rsidRDefault="00076670" w:rsidP="00076670">
      <w:pPr>
        <w:pStyle w:val="ListParagraph"/>
        <w:spacing w:after="100" w:line="276" w:lineRule="auto"/>
        <w:ind w:left="0" w:right="-35"/>
        <w:jc w:val="center"/>
        <w:rPr>
          <w:b/>
          <w:bCs/>
          <w:i/>
          <w:iCs/>
          <w:sz w:val="20"/>
          <w:szCs w:val="20"/>
        </w:rPr>
      </w:pPr>
      <w:r w:rsidRPr="00F103F8">
        <w:rPr>
          <w:b/>
          <w:bCs/>
          <w:i/>
          <w:iCs/>
          <w:sz w:val="20"/>
          <w:szCs w:val="20"/>
        </w:rPr>
        <w:t>(Received:</w:t>
      </w:r>
      <w:r w:rsidRPr="00F103F8">
        <w:rPr>
          <w:b/>
          <w:bCs/>
          <w:i/>
          <w:iCs/>
          <w:spacing w:val="-3"/>
          <w:sz w:val="20"/>
          <w:szCs w:val="20"/>
        </w:rPr>
        <w:t xml:space="preserve"> </w:t>
      </w:r>
      <w:r w:rsidRPr="00F103F8">
        <w:rPr>
          <w:b/>
          <w:bCs/>
          <w:i/>
          <w:iCs/>
          <w:sz w:val="20"/>
          <w:szCs w:val="20"/>
        </w:rPr>
        <w:t>11 June 2024</w:t>
      </w:r>
      <w:r w:rsidRPr="00F103F8">
        <w:rPr>
          <w:b/>
          <w:bCs/>
          <w:i/>
          <w:iCs/>
          <w:sz w:val="20"/>
          <w:szCs w:val="20"/>
        </w:rPr>
        <w:tab/>
        <w:t xml:space="preserve">        Revised: 16 July 2024              Accepted:</w:t>
      </w:r>
      <w:r w:rsidRPr="00F103F8">
        <w:rPr>
          <w:b/>
          <w:bCs/>
          <w:i/>
          <w:iCs/>
          <w:spacing w:val="-3"/>
          <w:sz w:val="20"/>
          <w:szCs w:val="20"/>
        </w:rPr>
        <w:t xml:space="preserve"> </w:t>
      </w:r>
      <w:r w:rsidRPr="00F103F8">
        <w:rPr>
          <w:b/>
          <w:bCs/>
          <w:i/>
          <w:iCs/>
          <w:sz w:val="20"/>
          <w:szCs w:val="20"/>
        </w:rPr>
        <w:t>10 August 2024)</w:t>
      </w:r>
      <w:bookmarkStart w:id="0" w:name="_Hlk164339951"/>
    </w:p>
    <w:tbl>
      <w:tblPr>
        <w:tblW w:w="10065" w:type="dxa"/>
        <w:jc w:val="center"/>
        <w:tblLayout w:type="fixed"/>
        <w:tblCellMar>
          <w:left w:w="0" w:type="dxa"/>
          <w:right w:w="0" w:type="dxa"/>
        </w:tblCellMar>
        <w:tblLook w:val="01E0" w:firstRow="1" w:lastRow="1" w:firstColumn="1" w:lastColumn="1" w:noHBand="0" w:noVBand="0"/>
      </w:tblPr>
      <w:tblGrid>
        <w:gridCol w:w="1788"/>
        <w:gridCol w:w="8277"/>
      </w:tblGrid>
      <w:tr w:rsidR="00076670" w:rsidRPr="00240D54" w14:paraId="251D1BF7" w14:textId="77777777" w:rsidTr="00ED3765">
        <w:trPr>
          <w:trHeight w:val="2161"/>
          <w:jc w:val="center"/>
        </w:trPr>
        <w:tc>
          <w:tcPr>
            <w:tcW w:w="1788" w:type="dxa"/>
            <w:tcBorders>
              <w:bottom w:val="single" w:sz="4" w:space="0" w:color="000000"/>
            </w:tcBorders>
            <w:shd w:val="clear" w:color="auto" w:fill="D9D9D9"/>
          </w:tcPr>
          <w:bookmarkEnd w:id="0"/>
          <w:p w14:paraId="0C8C8F93" w14:textId="77777777" w:rsidR="00076670" w:rsidRPr="00D87EAE" w:rsidRDefault="00076670" w:rsidP="00ED3765">
            <w:pPr>
              <w:pStyle w:val="TableParagraph"/>
              <w:spacing w:before="120" w:line="276" w:lineRule="auto"/>
              <w:ind w:left="108"/>
              <w:rPr>
                <w:b/>
                <w:sz w:val="20"/>
                <w:szCs w:val="20"/>
              </w:rPr>
            </w:pPr>
            <w:r w:rsidRPr="00D87EAE">
              <w:rPr>
                <w:b/>
                <w:sz w:val="20"/>
                <w:szCs w:val="20"/>
              </w:rPr>
              <w:t>KEYWORDS</w:t>
            </w:r>
          </w:p>
          <w:p w14:paraId="076CB1B4" w14:textId="530F6896" w:rsidR="00076670" w:rsidRPr="00240D54" w:rsidRDefault="00076670" w:rsidP="00ED3765">
            <w:pPr>
              <w:pStyle w:val="TableParagraph"/>
              <w:spacing w:before="174" w:line="276" w:lineRule="auto"/>
              <w:ind w:left="142" w:right="228"/>
              <w:rPr>
                <w:sz w:val="18"/>
                <w:szCs w:val="18"/>
              </w:rPr>
            </w:pPr>
            <w:r w:rsidRPr="00076670">
              <w:rPr>
                <w:sz w:val="20"/>
                <w:szCs w:val="20"/>
              </w:rPr>
              <w:t>Tribulus terrestris, Jellies, PCOS, chemical constituent, Saponins, protodioscin, woman health.</w:t>
            </w:r>
          </w:p>
        </w:tc>
        <w:tc>
          <w:tcPr>
            <w:tcW w:w="8277" w:type="dxa"/>
            <w:tcBorders>
              <w:top w:val="single" w:sz="4" w:space="0" w:color="000000"/>
              <w:bottom w:val="single" w:sz="4" w:space="0" w:color="000000"/>
            </w:tcBorders>
          </w:tcPr>
          <w:p w14:paraId="612D6233" w14:textId="112C2EB1" w:rsidR="00076670" w:rsidRPr="00076670" w:rsidRDefault="00076670" w:rsidP="00076670">
            <w:pPr>
              <w:pStyle w:val="BodyText"/>
              <w:spacing w:line="276" w:lineRule="auto"/>
              <w:ind w:left="204" w:right="-29"/>
              <w:jc w:val="both"/>
              <w:rPr>
                <w:color w:val="000000"/>
                <w:sz w:val="20"/>
                <w:szCs w:val="20"/>
              </w:rPr>
            </w:pPr>
            <w:r w:rsidRPr="00D87EAE">
              <w:rPr>
                <w:b/>
                <w:sz w:val="20"/>
                <w:szCs w:val="20"/>
              </w:rPr>
              <w:t>ABSTRACT:</w:t>
            </w:r>
            <w:r w:rsidRPr="00240D54">
              <w:rPr>
                <w:b/>
                <w:sz w:val="18"/>
                <w:szCs w:val="18"/>
              </w:rPr>
              <w:t xml:space="preserve"> </w:t>
            </w:r>
            <w:r>
              <w:rPr>
                <w:b/>
                <w:sz w:val="18"/>
                <w:szCs w:val="18"/>
              </w:rPr>
              <w:br/>
            </w:r>
            <w:r w:rsidRPr="00076670">
              <w:rPr>
                <w:color w:val="000000"/>
                <w:sz w:val="20"/>
                <w:szCs w:val="20"/>
              </w:rPr>
              <w:t xml:space="preserve">   This research explores the utilization of jelly-derived </w:t>
            </w:r>
            <w:r w:rsidRPr="00076670">
              <w:rPr>
                <w:i/>
                <w:color w:val="000000"/>
                <w:sz w:val="20"/>
                <w:szCs w:val="20"/>
              </w:rPr>
              <w:t>Tribulus terrestris</w:t>
            </w:r>
            <w:r w:rsidRPr="00076670">
              <w:rPr>
                <w:color w:val="000000"/>
                <w:sz w:val="20"/>
                <w:szCs w:val="20"/>
              </w:rPr>
              <w:t xml:space="preserve"> extract as a potential therapeutic solution for mitigating symptoms of Polycystic Ovary Syndrome (PCOS). PCOS, a prevalent endocrine condition affecting women during their</w:t>
            </w:r>
            <w:r w:rsidRPr="00076670">
              <w:rPr>
                <w:color w:val="000000"/>
                <w:spacing w:val="40"/>
                <w:sz w:val="20"/>
                <w:szCs w:val="20"/>
              </w:rPr>
              <w:t xml:space="preserve"> </w:t>
            </w:r>
            <w:r w:rsidRPr="00076670">
              <w:rPr>
                <w:color w:val="000000"/>
                <w:sz w:val="20"/>
                <w:szCs w:val="20"/>
              </w:rPr>
              <w:t>reproductive years, is characterized by hormonal irregularities, ovarian cysts, and metabolic</w:t>
            </w:r>
            <w:r w:rsidRPr="00076670">
              <w:rPr>
                <w:color w:val="000000"/>
                <w:spacing w:val="-2"/>
                <w:sz w:val="20"/>
                <w:szCs w:val="20"/>
              </w:rPr>
              <w:t xml:space="preserve"> </w:t>
            </w:r>
            <w:r w:rsidRPr="00076670">
              <w:rPr>
                <w:color w:val="000000"/>
                <w:sz w:val="20"/>
                <w:szCs w:val="20"/>
              </w:rPr>
              <w:t>disturbances. Traditional</w:t>
            </w:r>
            <w:r w:rsidRPr="00076670">
              <w:rPr>
                <w:color w:val="000000"/>
                <w:spacing w:val="-1"/>
                <w:sz w:val="20"/>
                <w:szCs w:val="20"/>
              </w:rPr>
              <w:t xml:space="preserve"> </w:t>
            </w:r>
            <w:r w:rsidRPr="00076670">
              <w:rPr>
                <w:color w:val="000000"/>
                <w:sz w:val="20"/>
                <w:szCs w:val="20"/>
              </w:rPr>
              <w:t>medicinal</w:t>
            </w:r>
            <w:r w:rsidRPr="00076670">
              <w:rPr>
                <w:color w:val="000000"/>
                <w:spacing w:val="-6"/>
                <w:sz w:val="20"/>
                <w:szCs w:val="20"/>
              </w:rPr>
              <w:t xml:space="preserve"> </w:t>
            </w:r>
            <w:r w:rsidRPr="00076670">
              <w:rPr>
                <w:color w:val="000000"/>
                <w:sz w:val="20"/>
                <w:szCs w:val="20"/>
              </w:rPr>
              <w:t>plants</w:t>
            </w:r>
            <w:r w:rsidRPr="00076670">
              <w:rPr>
                <w:color w:val="000000"/>
                <w:spacing w:val="-3"/>
                <w:sz w:val="20"/>
                <w:szCs w:val="20"/>
              </w:rPr>
              <w:t xml:space="preserve"> </w:t>
            </w:r>
            <w:r w:rsidRPr="00076670">
              <w:rPr>
                <w:color w:val="000000"/>
                <w:sz w:val="20"/>
                <w:szCs w:val="20"/>
              </w:rPr>
              <w:t>like</w:t>
            </w:r>
            <w:r w:rsidRPr="00076670">
              <w:rPr>
                <w:color w:val="000000"/>
                <w:spacing w:val="-2"/>
                <w:sz w:val="20"/>
                <w:szCs w:val="20"/>
              </w:rPr>
              <w:t xml:space="preserve"> </w:t>
            </w:r>
            <w:r w:rsidRPr="00076670">
              <w:rPr>
                <w:i/>
                <w:color w:val="000000"/>
                <w:sz w:val="20"/>
                <w:szCs w:val="20"/>
              </w:rPr>
              <w:t>Tribulus</w:t>
            </w:r>
            <w:r w:rsidRPr="00076670">
              <w:rPr>
                <w:i/>
                <w:color w:val="000000"/>
                <w:spacing w:val="-3"/>
                <w:sz w:val="20"/>
                <w:szCs w:val="20"/>
              </w:rPr>
              <w:t xml:space="preserve"> </w:t>
            </w:r>
            <w:r w:rsidRPr="00076670">
              <w:rPr>
                <w:i/>
                <w:color w:val="000000"/>
                <w:sz w:val="20"/>
                <w:szCs w:val="20"/>
              </w:rPr>
              <w:t>terrestris</w:t>
            </w:r>
            <w:r w:rsidRPr="00076670">
              <w:rPr>
                <w:color w:val="000000"/>
                <w:spacing w:val="-3"/>
                <w:sz w:val="20"/>
                <w:szCs w:val="20"/>
              </w:rPr>
              <w:t xml:space="preserve"> </w:t>
            </w:r>
            <w:r w:rsidRPr="00076670">
              <w:rPr>
                <w:color w:val="000000"/>
                <w:sz w:val="20"/>
                <w:szCs w:val="20"/>
              </w:rPr>
              <w:t>show</w:t>
            </w:r>
            <w:r w:rsidRPr="00076670">
              <w:rPr>
                <w:color w:val="000000"/>
                <w:spacing w:val="-2"/>
                <w:sz w:val="20"/>
                <w:szCs w:val="20"/>
              </w:rPr>
              <w:t xml:space="preserve"> </w:t>
            </w:r>
            <w:r w:rsidRPr="00076670">
              <w:rPr>
                <w:color w:val="000000"/>
                <w:sz w:val="20"/>
                <w:szCs w:val="20"/>
              </w:rPr>
              <w:t xml:space="preserve">promise in addressing the multifaceted symptoms of PCOS. The purpose of this study is to develop a jelly formulation of </w:t>
            </w:r>
            <w:r w:rsidRPr="00076670">
              <w:rPr>
                <w:i/>
                <w:color w:val="000000"/>
                <w:sz w:val="20"/>
                <w:szCs w:val="20"/>
              </w:rPr>
              <w:t>Tribulus terrestris</w:t>
            </w:r>
            <w:r w:rsidRPr="00076670">
              <w:rPr>
                <w:color w:val="000000"/>
                <w:sz w:val="20"/>
                <w:szCs w:val="20"/>
              </w:rPr>
              <w:t xml:space="preserve"> extract for convenient consumption by individuals</w:t>
            </w:r>
            <w:r w:rsidRPr="00076670">
              <w:rPr>
                <w:color w:val="000000"/>
                <w:spacing w:val="-2"/>
                <w:sz w:val="20"/>
                <w:szCs w:val="20"/>
              </w:rPr>
              <w:t xml:space="preserve"> </w:t>
            </w:r>
            <w:r w:rsidRPr="00076670">
              <w:rPr>
                <w:color w:val="000000"/>
                <w:sz w:val="20"/>
                <w:szCs w:val="20"/>
              </w:rPr>
              <w:t>with</w:t>
            </w:r>
            <w:r w:rsidRPr="00076670">
              <w:rPr>
                <w:color w:val="000000"/>
                <w:spacing w:val="-4"/>
                <w:sz w:val="20"/>
                <w:szCs w:val="20"/>
              </w:rPr>
              <w:t xml:space="preserve"> </w:t>
            </w:r>
            <w:r w:rsidRPr="00076670">
              <w:rPr>
                <w:color w:val="000000"/>
                <w:sz w:val="20"/>
                <w:szCs w:val="20"/>
              </w:rPr>
              <w:t>PCOS, ensuring stability</w:t>
            </w:r>
            <w:r w:rsidRPr="00076670">
              <w:rPr>
                <w:color w:val="000000"/>
                <w:spacing w:val="-4"/>
                <w:sz w:val="20"/>
                <w:szCs w:val="20"/>
              </w:rPr>
              <w:t xml:space="preserve"> </w:t>
            </w:r>
            <w:r w:rsidRPr="00076670">
              <w:rPr>
                <w:color w:val="000000"/>
                <w:sz w:val="20"/>
                <w:szCs w:val="20"/>
              </w:rPr>
              <w:t>and enhanced bioavailability. The investigation evaluates the physicochemical properties including texture, appearance, and rheological behavior of</w:t>
            </w:r>
            <w:r w:rsidRPr="00076670">
              <w:rPr>
                <w:color w:val="000000"/>
                <w:spacing w:val="-4"/>
                <w:sz w:val="20"/>
                <w:szCs w:val="20"/>
              </w:rPr>
              <w:t xml:space="preserve"> </w:t>
            </w:r>
            <w:r w:rsidRPr="00076670">
              <w:rPr>
                <w:color w:val="000000"/>
                <w:sz w:val="20"/>
                <w:szCs w:val="20"/>
              </w:rPr>
              <w:t>the extract jelly. Furthermore, the study</w:t>
            </w:r>
            <w:r w:rsidRPr="00076670">
              <w:rPr>
                <w:color w:val="000000"/>
                <w:spacing w:val="-1"/>
                <w:sz w:val="20"/>
                <w:szCs w:val="20"/>
              </w:rPr>
              <w:t xml:space="preserve"> </w:t>
            </w:r>
            <w:r w:rsidRPr="00076670">
              <w:rPr>
                <w:color w:val="000000"/>
                <w:sz w:val="20"/>
                <w:szCs w:val="20"/>
              </w:rPr>
              <w:t>delves into the potential mechanisms by</w:t>
            </w:r>
            <w:r w:rsidRPr="00076670">
              <w:rPr>
                <w:color w:val="000000"/>
                <w:spacing w:val="-7"/>
                <w:sz w:val="20"/>
                <w:szCs w:val="20"/>
              </w:rPr>
              <w:t xml:space="preserve"> </w:t>
            </w:r>
            <w:r w:rsidRPr="00076670">
              <w:rPr>
                <w:color w:val="000000"/>
                <w:sz w:val="20"/>
                <w:szCs w:val="20"/>
              </w:rPr>
              <w:t>which</w:t>
            </w:r>
            <w:r w:rsidRPr="00076670">
              <w:rPr>
                <w:color w:val="000000"/>
                <w:spacing w:val="-7"/>
                <w:sz w:val="20"/>
                <w:szCs w:val="20"/>
              </w:rPr>
              <w:t xml:space="preserve"> </w:t>
            </w:r>
            <w:r w:rsidRPr="00076670">
              <w:rPr>
                <w:color w:val="000000"/>
                <w:sz w:val="20"/>
                <w:szCs w:val="20"/>
              </w:rPr>
              <w:t>Tribulus</w:t>
            </w:r>
            <w:r w:rsidRPr="00076670">
              <w:rPr>
                <w:color w:val="000000"/>
                <w:spacing w:val="-4"/>
                <w:sz w:val="20"/>
                <w:szCs w:val="20"/>
              </w:rPr>
              <w:t xml:space="preserve"> </w:t>
            </w:r>
            <w:r w:rsidRPr="00076670">
              <w:rPr>
                <w:color w:val="000000"/>
                <w:sz w:val="20"/>
                <w:szCs w:val="20"/>
              </w:rPr>
              <w:t>terrestris</w:t>
            </w:r>
            <w:r w:rsidRPr="00076670">
              <w:rPr>
                <w:color w:val="000000"/>
                <w:spacing w:val="-4"/>
                <w:sz w:val="20"/>
                <w:szCs w:val="20"/>
              </w:rPr>
              <w:t xml:space="preserve"> </w:t>
            </w:r>
            <w:r w:rsidRPr="00076670">
              <w:rPr>
                <w:color w:val="000000"/>
                <w:sz w:val="20"/>
                <w:szCs w:val="20"/>
              </w:rPr>
              <w:t>extract may</w:t>
            </w:r>
            <w:r w:rsidRPr="00076670">
              <w:rPr>
                <w:color w:val="000000"/>
                <w:spacing w:val="-2"/>
                <w:sz w:val="20"/>
                <w:szCs w:val="20"/>
              </w:rPr>
              <w:t xml:space="preserve"> </w:t>
            </w:r>
            <w:r w:rsidRPr="00076670">
              <w:rPr>
                <w:color w:val="000000"/>
                <w:sz w:val="20"/>
                <w:szCs w:val="20"/>
              </w:rPr>
              <w:t>impact insulin</w:t>
            </w:r>
            <w:r w:rsidRPr="00076670">
              <w:rPr>
                <w:color w:val="000000"/>
                <w:spacing w:val="-2"/>
                <w:sz w:val="20"/>
                <w:szCs w:val="20"/>
              </w:rPr>
              <w:t xml:space="preserve"> </w:t>
            </w:r>
            <w:r w:rsidRPr="00076670">
              <w:rPr>
                <w:color w:val="000000"/>
                <w:sz w:val="20"/>
                <w:szCs w:val="20"/>
              </w:rPr>
              <w:t>sensitivity, hormonal</w:t>
            </w:r>
            <w:r w:rsidRPr="00076670">
              <w:rPr>
                <w:color w:val="000000"/>
                <w:spacing w:val="-2"/>
                <w:sz w:val="20"/>
                <w:szCs w:val="20"/>
              </w:rPr>
              <w:t xml:space="preserve"> </w:t>
            </w:r>
            <w:r w:rsidRPr="00076670">
              <w:rPr>
                <w:color w:val="000000"/>
                <w:sz w:val="20"/>
                <w:szCs w:val="20"/>
              </w:rPr>
              <w:t>balance, and inflammatory pathways associated with PCOS pathophysiology. The findings present jelly derived from this plant extract as a novel and promising therapeutic approach for managing the intricate symptoms of PCOS. This research contributes a practical and potentially valuable natural remedy while offering insightful knowledge on herbal interventions</w:t>
            </w:r>
            <w:r w:rsidRPr="00076670">
              <w:rPr>
                <w:color w:val="000000"/>
                <w:spacing w:val="-2"/>
                <w:sz w:val="20"/>
                <w:szCs w:val="20"/>
              </w:rPr>
              <w:t xml:space="preserve"> </w:t>
            </w:r>
            <w:r w:rsidRPr="00076670">
              <w:rPr>
                <w:color w:val="000000"/>
                <w:sz w:val="20"/>
                <w:szCs w:val="20"/>
              </w:rPr>
              <w:t>for</w:t>
            </w:r>
            <w:r w:rsidRPr="00076670">
              <w:rPr>
                <w:color w:val="000000"/>
                <w:spacing w:val="-3"/>
                <w:sz w:val="20"/>
                <w:szCs w:val="20"/>
              </w:rPr>
              <w:t xml:space="preserve"> </w:t>
            </w:r>
            <w:r w:rsidRPr="00076670">
              <w:rPr>
                <w:color w:val="000000"/>
                <w:sz w:val="20"/>
                <w:szCs w:val="20"/>
              </w:rPr>
              <w:t>PCOS management.</w:t>
            </w:r>
            <w:r w:rsidRPr="00076670">
              <w:rPr>
                <w:color w:val="000000"/>
                <w:spacing w:val="-2"/>
                <w:sz w:val="20"/>
                <w:szCs w:val="20"/>
              </w:rPr>
              <w:t xml:space="preserve"> </w:t>
            </w:r>
            <w:r w:rsidRPr="00076670">
              <w:rPr>
                <w:color w:val="000000"/>
                <w:sz w:val="20"/>
                <w:szCs w:val="20"/>
              </w:rPr>
              <w:t>With</w:t>
            </w:r>
            <w:r w:rsidRPr="00076670">
              <w:rPr>
                <w:color w:val="000000"/>
                <w:spacing w:val="-8"/>
                <w:sz w:val="20"/>
                <w:szCs w:val="20"/>
              </w:rPr>
              <w:t xml:space="preserve"> </w:t>
            </w:r>
            <w:r w:rsidRPr="00076670">
              <w:rPr>
                <w:color w:val="000000"/>
                <w:sz w:val="20"/>
                <w:szCs w:val="20"/>
              </w:rPr>
              <w:t>PCOS significantly</w:t>
            </w:r>
            <w:r w:rsidRPr="00076670">
              <w:rPr>
                <w:color w:val="000000"/>
                <w:spacing w:val="-4"/>
                <w:sz w:val="20"/>
                <w:szCs w:val="20"/>
              </w:rPr>
              <w:t xml:space="preserve"> </w:t>
            </w:r>
            <w:r w:rsidRPr="00076670">
              <w:rPr>
                <w:color w:val="000000"/>
                <w:sz w:val="20"/>
                <w:szCs w:val="20"/>
              </w:rPr>
              <w:t>impacting</w:t>
            </w:r>
            <w:r w:rsidRPr="00076670">
              <w:rPr>
                <w:color w:val="000000"/>
                <w:spacing w:val="-4"/>
                <w:sz w:val="20"/>
                <w:szCs w:val="20"/>
              </w:rPr>
              <w:t xml:space="preserve"> </w:t>
            </w:r>
            <w:r w:rsidRPr="00076670">
              <w:rPr>
                <w:color w:val="000000"/>
                <w:sz w:val="20"/>
                <w:szCs w:val="20"/>
              </w:rPr>
              <w:t>women's</w:t>
            </w:r>
            <w:r w:rsidRPr="00076670">
              <w:rPr>
                <w:color w:val="000000"/>
                <w:spacing w:val="-2"/>
                <w:sz w:val="20"/>
                <w:szCs w:val="20"/>
              </w:rPr>
              <w:t xml:space="preserve"> </w:t>
            </w:r>
            <w:r w:rsidRPr="00076670">
              <w:rPr>
                <w:color w:val="000000"/>
                <w:sz w:val="20"/>
                <w:szCs w:val="20"/>
              </w:rPr>
              <w:t>health globally, this innovative technique has the potential to diversify treatment options for those seeking complementary and alternative solutions to alleviate PCOS symptoms.</w:t>
            </w:r>
          </w:p>
        </w:tc>
      </w:tr>
    </w:tbl>
    <w:p w14:paraId="570EC135" w14:textId="77777777" w:rsidR="00076670" w:rsidRDefault="00076670" w:rsidP="00076670">
      <w:pPr>
        <w:spacing w:after="0"/>
        <w:ind w:right="-29"/>
        <w:jc w:val="both"/>
        <w:rPr>
          <w:rFonts w:ascii="Times New Roman" w:hAnsi="Times New Roman" w:cs="Times New Roman"/>
          <w:b/>
          <w:color w:val="000000"/>
          <w:sz w:val="20"/>
          <w:szCs w:val="20"/>
        </w:rPr>
      </w:pPr>
    </w:p>
    <w:p w14:paraId="5BD6571B" w14:textId="77777777" w:rsidR="00076670" w:rsidRDefault="00076670" w:rsidP="00076670">
      <w:pPr>
        <w:tabs>
          <w:tab w:val="left" w:pos="1001"/>
        </w:tabs>
        <w:spacing w:after="0"/>
        <w:ind w:right="-29"/>
        <w:jc w:val="both"/>
        <w:rPr>
          <w:rFonts w:ascii="Times New Roman" w:hAnsi="Times New Roman" w:cs="Times New Roman"/>
          <w:b/>
          <w:color w:val="000000"/>
          <w:spacing w:val="-2"/>
          <w:sz w:val="20"/>
          <w:szCs w:val="20"/>
        </w:rPr>
        <w:sectPr w:rsidR="00076670" w:rsidSect="00BC6B26">
          <w:headerReference w:type="even" r:id="rId8"/>
          <w:headerReference w:type="default" r:id="rId9"/>
          <w:footerReference w:type="even" r:id="rId10"/>
          <w:footerReference w:type="default" r:id="rId11"/>
          <w:headerReference w:type="first" r:id="rId12"/>
          <w:footerReference w:type="first" r:id="rId13"/>
          <w:pgSz w:w="11906" w:h="16838" w:code="9"/>
          <w:pgMar w:top="1440" w:right="1077" w:bottom="1440" w:left="1077" w:header="658" w:footer="974" w:gutter="0"/>
          <w:pgNumType w:start="708"/>
          <w:cols w:space="720"/>
        </w:sectPr>
      </w:pPr>
    </w:p>
    <w:p w14:paraId="2F361E8B" w14:textId="77777777" w:rsidR="00D460AE" w:rsidRPr="00076670" w:rsidRDefault="00000000" w:rsidP="00076670">
      <w:pPr>
        <w:tabs>
          <w:tab w:val="left" w:pos="1001"/>
        </w:tabs>
        <w:spacing w:after="0"/>
        <w:ind w:right="-29"/>
        <w:jc w:val="both"/>
        <w:rPr>
          <w:rFonts w:ascii="Times New Roman" w:hAnsi="Times New Roman" w:cs="Times New Roman"/>
          <w:b/>
          <w:color w:val="000000"/>
          <w:sz w:val="20"/>
          <w:szCs w:val="20"/>
        </w:rPr>
      </w:pPr>
      <w:r w:rsidRPr="00076670">
        <w:rPr>
          <w:rFonts w:ascii="Times New Roman" w:hAnsi="Times New Roman" w:cs="Times New Roman"/>
          <w:b/>
          <w:color w:val="000000"/>
          <w:spacing w:val="-2"/>
          <w:sz w:val="20"/>
          <w:szCs w:val="20"/>
        </w:rPr>
        <w:t>Introduction:</w:t>
      </w:r>
    </w:p>
    <w:p w14:paraId="4A3E9695" w14:textId="77777777" w:rsidR="00D460AE" w:rsidRPr="00076670" w:rsidRDefault="00000000" w:rsidP="00076670">
      <w:pPr>
        <w:pStyle w:val="ListParagraph"/>
        <w:tabs>
          <w:tab w:val="left" w:pos="-450"/>
        </w:tabs>
        <w:spacing w:line="276" w:lineRule="auto"/>
        <w:ind w:left="0" w:right="-29" w:firstLine="0"/>
        <w:jc w:val="both"/>
        <w:rPr>
          <w:b/>
          <w:color w:val="000000"/>
          <w:spacing w:val="-2"/>
          <w:sz w:val="20"/>
          <w:szCs w:val="20"/>
        </w:rPr>
      </w:pPr>
      <w:r w:rsidRPr="00076670">
        <w:rPr>
          <w:b/>
          <w:color w:val="000000"/>
          <w:spacing w:val="-2"/>
          <w:sz w:val="20"/>
          <w:szCs w:val="20"/>
        </w:rPr>
        <w:t>Polycystic</w:t>
      </w:r>
      <w:r w:rsidRPr="00076670">
        <w:rPr>
          <w:b/>
          <w:color w:val="000000"/>
          <w:spacing w:val="3"/>
          <w:sz w:val="20"/>
          <w:szCs w:val="20"/>
        </w:rPr>
        <w:t xml:space="preserve"> </w:t>
      </w:r>
      <w:r w:rsidRPr="00076670">
        <w:rPr>
          <w:b/>
          <w:color w:val="000000"/>
          <w:spacing w:val="-2"/>
          <w:sz w:val="20"/>
          <w:szCs w:val="20"/>
        </w:rPr>
        <w:t>Ovarian</w:t>
      </w:r>
      <w:r w:rsidRPr="00076670">
        <w:rPr>
          <w:b/>
          <w:color w:val="000000"/>
          <w:spacing w:val="-5"/>
          <w:sz w:val="20"/>
          <w:szCs w:val="20"/>
        </w:rPr>
        <w:t xml:space="preserve"> </w:t>
      </w:r>
      <w:r w:rsidRPr="00076670">
        <w:rPr>
          <w:b/>
          <w:color w:val="000000"/>
          <w:spacing w:val="-2"/>
          <w:sz w:val="20"/>
          <w:szCs w:val="20"/>
        </w:rPr>
        <w:t xml:space="preserve">Syndrome:  </w:t>
      </w:r>
    </w:p>
    <w:p w14:paraId="5E23B508" w14:textId="77777777" w:rsidR="00D460AE" w:rsidRDefault="00000000" w:rsidP="00076670">
      <w:pPr>
        <w:pStyle w:val="ListParagraph"/>
        <w:tabs>
          <w:tab w:val="left" w:pos="-450"/>
        </w:tabs>
        <w:spacing w:line="276" w:lineRule="auto"/>
        <w:ind w:left="0" w:right="-29" w:firstLine="0"/>
        <w:jc w:val="both"/>
        <w:rPr>
          <w:color w:val="000000"/>
          <w:sz w:val="20"/>
          <w:szCs w:val="20"/>
        </w:rPr>
      </w:pPr>
      <w:r w:rsidRPr="00076670">
        <w:rPr>
          <w:color w:val="000000"/>
          <w:sz w:val="20"/>
          <w:szCs w:val="20"/>
        </w:rPr>
        <w:t>PCOS is a frequent physiological and reproduction disorder. These changes show up as amenorrhea or oligomenorrhea, morphological characteristics of polycystic ovaries on hyperandrogenism and ultrasonography</w:t>
      </w:r>
      <w:r w:rsidRPr="00076670">
        <w:rPr>
          <w:color w:val="000000"/>
          <w:spacing w:val="-7"/>
          <w:sz w:val="20"/>
          <w:szCs w:val="20"/>
        </w:rPr>
        <w:t xml:space="preserve"> </w:t>
      </w:r>
      <w:r w:rsidRPr="00076670">
        <w:rPr>
          <w:color w:val="000000"/>
          <w:sz w:val="20"/>
          <w:szCs w:val="20"/>
        </w:rPr>
        <w:t>(loss of hair from</w:t>
      </w:r>
      <w:r w:rsidRPr="00076670">
        <w:rPr>
          <w:color w:val="000000"/>
          <w:spacing w:val="-7"/>
          <w:sz w:val="20"/>
          <w:szCs w:val="20"/>
        </w:rPr>
        <w:t xml:space="preserve"> </w:t>
      </w:r>
      <w:r w:rsidRPr="00076670">
        <w:rPr>
          <w:color w:val="000000"/>
          <w:sz w:val="20"/>
          <w:szCs w:val="20"/>
        </w:rPr>
        <w:t>the scalp, hirsutism, acne, or a mix of these). Polycystic ovarian syndrome was long regarded as a reproductive issue, but it has since been proven to be a metabolous condition linked to long-term health hazards, such as cardiovascular disease and type 2 diabetes</w:t>
      </w:r>
      <w:r w:rsidRPr="00076670">
        <w:rPr>
          <w:color w:val="000000"/>
          <w:sz w:val="20"/>
          <w:szCs w:val="20"/>
        </w:rPr>
        <w:fldChar w:fldCharType="begin"/>
      </w:r>
      <w:r w:rsidRPr="00076670">
        <w:rPr>
          <w:color w:val="000000"/>
          <w:sz w:val="20"/>
          <w:szCs w:val="20"/>
        </w:rPr>
        <w:instrText>ADDIN CSL_CITATION {"citationItems":[{"id":"ITEM-1","itemData":{"DOI":"10.1111/cen.14609","ISSN":"13652265","PMID":"34617616","abstract":"Polycystic ovary syndrome (PCOS) has long been recognized as a common disorder in young women leading to reproductive and cutaneous sequelae. However, the associated health risks are now known to extend beyond these familiar manifestations to a range of longer-term comorbidities. Here we review the evidence for an association of PCOS with adverse long-term health outcomes, discussing the pathophysiological mechanisms involved in addition to opportunities for therapeutic intervention. Cross-sectional and longitudinal studies point to an increased risk of type 2 diabetes, hypertension and dyslipidaemia, with recent data confirming that these translate to an increased risk of cardiovascular events independently of obesity. Obstructive sleep apnoea, nonalcoholic fatty liver disease and endometrial cancer are also more prevalent, while mental health disorders, notably anxiety and depression, are common but under-appreciated associations. Uncertainties remain as to whether these risks are apparent in all patients with PCOS or are confined to particular subtypes, whether risks persist post-menopausally and how risk may be affected by ethnicity. Further work is also needed in establishing if systematic screening and targeted intervention can lead to improved outcomes. Until such data are available, clinicians managing women with PCOS should counsel patients on long-term health risks and invest in strategies that limit progression to metabolic and non-metabolic morbidities.","author":[{"dropping-particle":"","family":"Allen","given":"Lowri A.","non-dropping-particle":"","parse-names":false,"suffix":""},{"dropping-particle":"","family":"Shrikrishnapalasuriyar","given":"Natasha","non-dropping-particle":"","parse-names":false,"suffix":""},{"dropping-particle":"","family":"Rees","given":"Dafydd Aled","non-dropping-particle":"","parse-names":false,"suffix":""}],"container-title":"Clinical Endocrinology","id":"ITEM-1","issue":"2","issued":{"date-parts":[["2022"]]},"page":"187-198","title":"Long-term health outcomes in young women with polycystic ovary syndrome: A narrative review","type":"article-journal","volume":"97"},"uris":["http://www.mendeley.com/documents/?uuid=30569cb8-a303-4da7-b502-fb471cd31424"]}],"mendeley":{"formattedCitation":"(Allen, Shrikrishnapalasuriyar, and Rees 2022)","plainTextFormattedCitation":"(Allen, Shrikrishnapalasuriyar, and Rees 2022)","previouslyFormattedCitation":"(Allen, Shrikrishnapalasuriyar, and Rees 2022)"},"properties":{"noteIndex":0},"schema":"https://github.com/citation-style-language/schema/raw/master/csl-citation.json"}</w:instrText>
      </w:r>
      <w:r w:rsidRPr="00076670">
        <w:rPr>
          <w:color w:val="000000"/>
          <w:sz w:val="20"/>
          <w:szCs w:val="20"/>
        </w:rPr>
        <w:fldChar w:fldCharType="separate"/>
      </w:r>
      <w:r w:rsidRPr="00076670">
        <w:rPr>
          <w:noProof/>
          <w:color w:val="000000"/>
          <w:sz w:val="20"/>
          <w:szCs w:val="20"/>
        </w:rPr>
        <w:t>(Allen, Shrikrishnapalasuriyar, and Rees 2022)</w:t>
      </w:r>
      <w:r w:rsidRPr="00076670">
        <w:rPr>
          <w:color w:val="000000"/>
          <w:sz w:val="20"/>
          <w:szCs w:val="20"/>
        </w:rPr>
        <w:fldChar w:fldCharType="end"/>
      </w:r>
      <w:r w:rsidRPr="00076670">
        <w:rPr>
          <w:color w:val="000000"/>
          <w:sz w:val="20"/>
          <w:szCs w:val="20"/>
        </w:rPr>
        <w:t>. There have also been reports of poor mental health results and a lower quality of life. Thus, It is linked to high healthcare expenses and resource consumption. A high degree of dissatisfaction with care is reported in international surveys</w:t>
      </w:r>
      <w:r w:rsidRPr="00076670">
        <w:rPr>
          <w:color w:val="000000"/>
          <w:sz w:val="20"/>
          <w:szCs w:val="20"/>
        </w:rPr>
        <w:fldChar w:fldCharType="begin"/>
      </w:r>
      <w:r w:rsidRPr="00076670">
        <w:rPr>
          <w:color w:val="000000"/>
          <w:sz w:val="20"/>
          <w:szCs w:val="20"/>
        </w:rPr>
        <w:instrText>ADDIN CSL_CITATION {"citationItems":[{"id":"ITEM-1","itemData":{"DOI":"10.1210/jc.2016-2963","ISSN":"19457197","PMID":"27906550","abstract":"Context: Polycystic ovary syndrome (PCOS) is a complex, chronic, and under-recognized disorder. Diagnosis experience may have lasting effects on well-being and self-management. Objective: To investigate PCOS diagnosis experiences, information provided, and concerns about PCOS. Design: Cross-sectional study using an online questionnaire. Setting: Recruitment via support group web sites in 2015 to 2016. Participants: There were 1385 women with a reported diagnosis of PCOS who were living in North America (53.0%), Europe (42.2%), or other world regions (4.9%); of these, 64.8% were 18 to 35 years of age. Main Outcome Measures: Satisfaction with PCOS diagnosis experience, satisfaction with PCOS information received at the time of diagnosis, and current concerns about PCOS. Results: One-third or more of women reported &gt;2 years (33.6%) and ≥3 health professionals (47.1%) before a diagnosis was established. Few were satisfied with their diagnosis experience (35.2%) or with the information they received (15.6%). Satisfaction with information received was positively associated with diagnosis satisfaction [odds ratio (OR), 7.0; 95% confidence interval (CI), 4.9 to 9.9]; seeing ≥5 health professionals (OR, 0.5; 95% CI, 0.3 to 0.8) and longer time to diagnosis (.&gt;2 years; OR, 0.4; 95% CI, 0.3 to 0.6) were negatively associated with diagnosis satisfaction (independent of time since diagnosis, age, and world region). Women's most common concerns were difficulty losing weight (53.6%), irregular menstrual cycles (50.8%), and infertility (44.5%). Conclusions: In the largest study of PCOS diagnosis experiences, many women reported delayed diagnosis and inadequate information. These gaps in early diagnosis, education, and support are clear opportunities for improving patient experience.","author":[{"dropping-particle":"","family":"Gibson-Helm","given":"Melanie","non-dropping-particle":"","parse-names":false,"suffix":""},{"dropping-particle":"","family":"Teede","given":"Helena","non-dropping-particle":"","parse-names":false,"suffix":""},{"dropping-particle":"","family":"Dunaif","given":"Andrea","non-dropping-particle":"","parse-names":false,"suffix":""},{"dropping-particle":"","family":"Dokras","given":"Anuja","non-dropping-particle":"","parse-names":false,"suffix":""}],"container-title":"Journal of Clinical Endocrinology and Metabolism","id":"ITEM-1","issue":"2","issued":{"date-parts":[["2017"]]},"page":"604-612","title":"Delayed diagnosis and a lack of information associated with dissatisfaction in women with polycystic ovary syndrome","type":"article-journal","volume":"102"},"uris":["http://www.mendeley.com/documents/?uuid=9898a4ca-e2db-4592-8a63-3ad06e0aa006"]}],"mendeley":{"formattedCitation":"(Gibson-Helm et al. 2017)","plainTextFormattedCitation":"(Gibson-Helm et al. 2017)","previouslyFormattedCitation":"(Gibson-Helm et al. 2017)"},"properties":{"noteIndex":0},"schema":"https://github.com/citation-style-language/schema/raw/master/csl-citation.json"}</w:instrText>
      </w:r>
      <w:r w:rsidRPr="00076670">
        <w:rPr>
          <w:color w:val="000000"/>
          <w:sz w:val="20"/>
          <w:szCs w:val="20"/>
        </w:rPr>
        <w:fldChar w:fldCharType="separate"/>
      </w:r>
      <w:r w:rsidRPr="00076670">
        <w:rPr>
          <w:noProof/>
          <w:color w:val="000000"/>
          <w:sz w:val="20"/>
          <w:szCs w:val="20"/>
        </w:rPr>
        <w:t>(Gibson-Helm et al. 2017)</w:t>
      </w:r>
      <w:r w:rsidRPr="00076670">
        <w:rPr>
          <w:color w:val="000000"/>
          <w:sz w:val="20"/>
          <w:szCs w:val="20"/>
        </w:rPr>
        <w:fldChar w:fldCharType="end"/>
      </w:r>
      <w:r w:rsidRPr="00076670">
        <w:rPr>
          <w:color w:val="000000"/>
          <w:sz w:val="20"/>
          <w:szCs w:val="20"/>
        </w:rPr>
        <w:t xml:space="preserve">, in part due to the fact that existing treatments are frequently only marginally successful in symptom relief and long- term risk reduction. International standards acknowledge the poor quality of the available data and the urgent need for </w:t>
      </w:r>
      <w:r w:rsidRPr="00076670">
        <w:rPr>
          <w:color w:val="000000"/>
          <w:sz w:val="20"/>
          <w:szCs w:val="20"/>
        </w:rPr>
        <w:t xml:space="preserve">higher-quality </w:t>
      </w:r>
      <w:r w:rsidRPr="00076670">
        <w:rPr>
          <w:color w:val="000000"/>
          <w:spacing w:val="-2"/>
          <w:sz w:val="20"/>
          <w:szCs w:val="20"/>
        </w:rPr>
        <w:t>research</w:t>
      </w:r>
      <w:r w:rsidRPr="00076670">
        <w:rPr>
          <w:color w:val="000000"/>
          <w:spacing w:val="-2"/>
          <w:sz w:val="20"/>
          <w:szCs w:val="20"/>
        </w:rPr>
        <w:fldChar w:fldCharType="begin"/>
      </w:r>
      <w:r w:rsidRPr="00076670">
        <w:rPr>
          <w:color w:val="000000"/>
          <w:spacing w:val="-2"/>
          <w:sz w:val="20"/>
          <w:szCs w:val="20"/>
        </w:rPr>
        <w:instrText>ADDIN CSL_CITATION {"citationItems":[{"id":"ITEM-1","itemData":{"DOI":"10.1210/clinem/dgad463","ISSN":"0021-972X","abstract":"Study Question: What is the recommended assessment and management of those with polycystic ovary syndrome (PCOS), based on the best available evidence, clinical expertise, and consumer preference? Summary Answer: International evidence-based guidelines address prioritized questions and outcomes and include 254 recommendations and practice points, to promote consistent, evidence-based care and improve the experience and health outcomes in PCOS. What is Known Already: The 2018 International PCOS Guideline was independently evaluated as high quality and integrated multidisciplinary and consumer perspectives from six continents; it is now used in 196 countries and is widely cited. It was based on best available, but generally very low to low quality, evidence. It applied robust methodological processes and addressed shared priorities. The guideline transitioned from consensus based to evidence-based diagnostic criteria and enhanced accuracy of diagnosis, whilst promoting consistency of care. However, diagnosis is still delayed, the needs of those with PCOS are not being adequately met, evidence quality was low and evidence-practice gaps persist. Study Design, Size, Duration: The 2023 International Evidence-based Guideline update reengaged the 2018 network across professional societies and consumer organizations with multidisciplinary experts and women with PCOS directly involved at all stages. Extensive evidence synthesis was completed. Appraisal of Guidelines for Research and Evaluation-II (AGREEII)-compliant processes were followed. The Grading of Recommendations, Assessment, Development, and Evaluation (GRADE) framework was applied across evidence quality, feasibility, acceptability, cost, implementation and ultimately recommendation strength and diversity and inclusion were considered throughout. Participants/Materials, Setting, Methods: This summary should be read in conjunction with the full Guideline for detailed participants and methods. Governance included a six-continent international advisory and management committee, five guideline development groups, and paediatric, consumer, and translation committees. Extensive consumer engagement and guideline experts informed the update scope and priorities. Engaged international society-nominated panels included paediatrics, endocrinology, gynaecology, primary care, reproductive endocrinology, obstetrics, psychiatry, psychology, dietetics, exercise physiology, obesity care, public health and other experts,…","author":[{"dropping-particle":"","family":"Teede","given":"Helena J","non-dropping-particle":"","parse-names":false,"suffix":""},{"dropping-particle":"","family":"Tay","given":"Chau Thien","non-dropping-particle":"","parse-names":false,"suffix":""},{"dropping-particle":"","family":"Laven","given":"Joop J E","non-dropping-particle":"","parse-names":false,"suffix":""},{"dropping-particle":"","family":"Dokras","given":"Anuja","non-dropping-particle":"","parse-names":false,"suffix":""},{"dropping-particle":"","family":"Moran","given":"Lisa J","non-dropping-particle":"","parse-names":false,"suffix":""},{"dropping-particle":"","family":"Piltonen","given":"Terhi T","non-dropping-particle":"","parse-names":false,"suffix":""},{"dropping-particle":"","family":"Costello","given":"Michael F","non-dropping-particle":"","parse-names":false,"suffix":""},{"dropping-particle":"","family":"Boivin","given":"Jacky","non-dropping-particle":"","parse-names":false,"suffix":""},{"dropping-particle":"","family":"Redman","given":"Leanne M","non-dropping-particle":"","parse-names":false,"suffix":""},{"dropping-particle":"","family":"Boyle","given":"Jacqueline A","non-dropping-particle":"","parse-names":false,"suffix":""},{"dropping-particle":"","family":"Norman","given":"Robert J","non-dropping-particle":"","parse-names":false,"suffix":""},{"dropping-particle":"","family":"Mousa","given":"Aya","non-dropping-particle":"","parse-names":false,"suffix":""},{"dropping-particle":"","family":"Joham","given":"Anju E","non-dropping-particle":"","parse-names":false,"suffix":""}],"container-title":"The Journal of Clinical Endocrinology &amp; Metabolism","id":"ITEM-1","issue":"10","issued":{"date-parts":[["2023"]]},"page":"2447-2469","publisher":"Oxford University Press","title":"Recommendations From the 2023 International Evidence-based Guideline for the Assessment and Management of Polycystic Ovary Syndrome","type":"article-journal","volume":"108"},"uris":["http://www.mendeley.com/documents/?uuid=38e308c5-ae8b-4699-baa3-108304ec82a6"]}],"mendeley":{"formattedCitation":"(Teede et al. 2023)","plainTextFormattedCitation":"(Teede et al. 2023)","previouslyFormattedCitation":"(Teede et al. 2023)"},"properties":{"noteIndex":0},"schema":"https://github.com/citation-style-language/schema/raw/master/csl-citation.json"}</w:instrText>
      </w:r>
      <w:r w:rsidRPr="00076670">
        <w:rPr>
          <w:color w:val="000000"/>
          <w:spacing w:val="-2"/>
          <w:sz w:val="20"/>
          <w:szCs w:val="20"/>
        </w:rPr>
        <w:fldChar w:fldCharType="separate"/>
      </w:r>
      <w:r w:rsidRPr="00076670">
        <w:rPr>
          <w:noProof/>
          <w:color w:val="000000"/>
          <w:spacing w:val="-2"/>
          <w:sz w:val="20"/>
          <w:szCs w:val="20"/>
        </w:rPr>
        <w:t>(Teede et al. 2023)</w:t>
      </w:r>
      <w:r w:rsidRPr="00076670">
        <w:rPr>
          <w:color w:val="000000"/>
          <w:spacing w:val="-2"/>
          <w:sz w:val="20"/>
          <w:szCs w:val="20"/>
        </w:rPr>
        <w:fldChar w:fldCharType="end"/>
      </w:r>
      <w:r w:rsidRPr="00076670">
        <w:rPr>
          <w:color w:val="000000"/>
          <w:spacing w:val="-2"/>
          <w:sz w:val="20"/>
          <w:szCs w:val="20"/>
        </w:rPr>
        <w:t>.</w:t>
      </w:r>
      <w:r w:rsidRPr="00076670">
        <w:rPr>
          <w:color w:val="000000"/>
          <w:sz w:val="20"/>
          <w:szCs w:val="20"/>
        </w:rPr>
        <w:t>Better patient outcomes and the development of new medicines could arise from a deeper comprehension of the disease's pathophysiology. The aberrant high frequency</w:t>
      </w:r>
      <w:r w:rsidRPr="00076670">
        <w:rPr>
          <w:color w:val="000000"/>
          <w:spacing w:val="40"/>
          <w:sz w:val="20"/>
          <w:szCs w:val="20"/>
        </w:rPr>
        <w:t xml:space="preserve"> </w:t>
      </w:r>
      <w:r w:rsidRPr="00076670">
        <w:rPr>
          <w:color w:val="000000"/>
          <w:sz w:val="20"/>
          <w:szCs w:val="20"/>
        </w:rPr>
        <w:t>pulsatile secretion of gonadotropin releasing hormone is caused by neuroendocrine dysregulation, and the process is crucially regulated by dynorphin A, neurokinin B, and hypothalamic kisspeptin neurons (also known as KNDy neurons)</w:t>
      </w:r>
      <w:r w:rsidRPr="00076670">
        <w:rPr>
          <w:color w:val="000000"/>
          <w:sz w:val="20"/>
          <w:szCs w:val="20"/>
        </w:rPr>
        <w:fldChar w:fldCharType="begin"/>
      </w:r>
      <w:r w:rsidRPr="00076670">
        <w:rPr>
          <w:color w:val="000000"/>
          <w:sz w:val="20"/>
          <w:szCs w:val="20"/>
        </w:rPr>
        <w:instrText>ADDIN CSL_CITATION {"citationItems":[{"id":"ITEM-1","itemData":{"DOI":"10.1111/cen.14704","ISSN":"13652265","PMID":"35262967","abstract":"Polycystic ovary syndrome (PCOS) is the most common endocrine disorder in women of reproductive age and is the leading cause of anovulatory subfertility. Increased gonadotrophin releasing hormone (GnRH) pulsatility in the hypothalamus results in preferential luteinizing hormone (LH) secretion from the pituitary gland, leading to ovarian hyperandrogenism and oligo/anovulation. The resultant hyperandrogenism reduces negative feedback from sex steroids such as oestradiol and progesterone to the hypothalamus, and thus perpetuates the increase in GnRH pulsatility. GnRH neurons do not have receptors for oestrogen, progesterone, or androgens, and thus the disrupted feedback is hypothesized to occur via upstream neurons. Likely candidates for these upstream regulators of GnRH neuronal pulsatility are Kisspeptin, Neurokinin B (NKB), and Dynorphin neurons (termed KNDy neurons). Growing insight into the neuroendocrine dysfunction underpinning the heightened GnRH pulsatility seen in PCOS has led to research on the use of pharmaceutical agents that specifically target the activity of these KNDy neurons to attenuate symptoms of PCOS. This review aims to highlight the neuroendocrine abnormalities that lead to increased GnRH pulsatility in PCOS, and outline data on recent therapeutic advancements that could potentially be used to treat PCOS. Emerging evidence has investigated the use of neurokinin 3 receptor (NK3R) antagonists as a method of reducing GnRH pulsatility and alleviating features of PCOS such as hyperandrogenism. We also consider other potential mechanisms by which increased GnRH pulsatility is controlled, which could form the basis of future avenues of research.","author":[{"dropping-particle":"","family":"Garg","given":"Akanksha","non-dropping-particle":"","parse-names":false,"suffix":""},{"dropping-particle":"","family":"Patel","given":"Bijal","non-dropping-particle":"","parse-names":false,"suffix":""},{"dropping-particle":"","family":"Abbara","given":"Ali","non-dropping-particle":"","parse-names":false,"suffix":""},{"dropping-particle":"","family":"Dhillo","given":"Waljit S.","non-dropping-particle":"","parse-names":false,"suffix":""}],"container-title":"Clinical Endocrinology","id":"ITEM-1","issue":"2","issued":{"date-parts":[["2022"]]},"page":"156-164","title":"Treatments targeting neuroendocrine dysfunction in polycystic ovary syndrome (PCOS)","type":"article-journal","volume":"97"},"uris":["http://www.mendeley.com/documents/?uuid=d25898c4-a1b8-40d0-a38d-5a4b428fdf4d"]}],"mendeley":{"formattedCitation":"(Garg et al. 2022)","plainTextFormattedCitation":"(Garg et al. 2022)","previouslyFormattedCitation":"(Garg et al. 2022)"},"properties":{"noteIndex":0},"schema":"https://github.com/citation-style-language/schema/raw/master/csl-citation.json"}</w:instrText>
      </w:r>
      <w:r w:rsidRPr="00076670">
        <w:rPr>
          <w:color w:val="000000"/>
          <w:sz w:val="20"/>
          <w:szCs w:val="20"/>
        </w:rPr>
        <w:fldChar w:fldCharType="separate"/>
      </w:r>
      <w:r w:rsidRPr="00076670">
        <w:rPr>
          <w:noProof/>
          <w:color w:val="000000"/>
          <w:sz w:val="20"/>
          <w:szCs w:val="20"/>
        </w:rPr>
        <w:t>(Garg et al. 2022)</w:t>
      </w:r>
      <w:r w:rsidRPr="00076670">
        <w:rPr>
          <w:color w:val="000000"/>
          <w:sz w:val="20"/>
          <w:szCs w:val="20"/>
        </w:rPr>
        <w:fldChar w:fldCharType="end"/>
      </w:r>
      <w:r w:rsidRPr="00076670">
        <w:rPr>
          <w:color w:val="000000"/>
          <w:sz w:val="20"/>
          <w:szCs w:val="20"/>
        </w:rPr>
        <w:t>. Peripherally produced 11-oxygenated androgens are becoming significant indicators of metabolic risk, even if elevated ovarian and adrenal androgen synthesis leads to hyperandrogenism</w:t>
      </w:r>
      <w:r w:rsidRPr="00076670">
        <w:rPr>
          <w:color w:val="000000"/>
          <w:sz w:val="20"/>
          <w:szCs w:val="20"/>
        </w:rPr>
        <w:fldChar w:fldCharType="begin"/>
      </w:r>
      <w:r w:rsidRPr="00076670">
        <w:rPr>
          <w:color w:val="000000"/>
          <w:sz w:val="20"/>
          <w:szCs w:val="20"/>
        </w:rPr>
        <w:instrText>ADDIN CSL_CITATION {"citationItems":[{"id":"ITEM-1","itemData":{"DOI":"10.1210/jc.2016-3285","ISSN":"19457197","PMID":"27901631","abstract":"Context: Androgen excess is a defining feature of polycystic ovary syndrome (PCOS), but the exact origin of hyperandrogenemia remains a matter of debate. Recent studies have highlighted the importance of the 11-oxygenated C19 steroid pathway to androgen metabolism in humans. In this study, we analyzed the contribution of 11-oxygenated androgens to androgen excess in women with PCOS. Methods: One hundred fourteen women with PCOS and 49 healthy control subjects underwent measurement of serum androgens by liquid chromatography-tandem mass spectrometry. Twentyfour-hour urinary androgen excretion was analyzed by gas chromatography-mass spectrometry. Fasting plasma insulin and glucose were measured for homeostatic model assessment of insulin resistance. Baseline demographic data, including body mass index, were recorded. Results: As expected, serum concentrations of the classic androgens testosterone (P , 0.001), androstenedione (P,0.001), and dehydroepiandrosterone (P,0.01) were significantly increased in PCOS. Mirroring this, serum 11-oxygenated androgens 11b-hydroxyandrostenedione, 11-ketoandrostenedione, 11b-hydroxytestosterone, and 11-ketotestosterone were significantly higher in PCOS than in control subjects, as was the urinary 11-oxygenated androgen metabolite 11bhydroxyandrosterone. The proportionate contribution of 11-oxygenated to total serum androgens was significantly higher in patients with PCOS compared with control subjects [53.0% (interquartile range, 48.7 to 60.3) vs 44.0% (interquartile range, 32.9 to 54.9); P , 0.0001]. Obese (n = 51) and nonobese (n = 63) patients with PCOS had significantly increased 11-oxygenated androgens. Serum 11b-hydroxyandrostenedione and 11-ketoandrostenedione correlated significantly with markers of insulin resistance. Conclusions: We show that 11-oxygenated androgens represent the majority of circulating androgens in women with PCOS, with close correlation to markers of metabolic risk.","author":[{"dropping-particle":"","family":"O'Reilly","given":"Michael W.","non-dropping-particle":"","parse-names":false,"suffix":""},{"dropping-particle":"","family":"Kempegowda","given":"Punith","non-dropping-particle":"","parse-names":false,"suffix":""},{"dropping-particle":"","family":"Jenkinson","given":"Carl","non-dropping-particle":"","parse-names":false,"suffix":""},{"dropping-particle":"","family":"Taylor","given":"Angela E.","non-dropping-particle":"","parse-names":false,"suffix":""},{"dropping-particle":"","family":"Quanson","given":"Jonathan L.","non-dropping-particle":"","parse-names":false,"suffix":""},{"dropping-particle":"","family":"Storbeck","given":"Karl Heinz","non-dropping-particle":"","parse-names":false,"suffix":""},{"dropping-particle":"","family":"Arlt","given":"Wiebke","non-dropping-particle":"","parse-names":false,"suffix":""}],"container-title":"Journal of Clinical Endocrinology and Metabolism","id":"ITEM-1","issue":"3","issued":{"date-parts":[["2017"]]},"page":"840-848","title":"11-oxygenated C19 steroids are the predominant androgens in polycystic ovary syndrome","type":"article-journal","volume":"102"},"uris":["http://www.mendeley.com/documents/?uuid=13bfa5aa-aec7-40e9-a799-61d20e24757c"]}],"mendeley":{"formattedCitation":"(O’Reilly et al. 2017)","plainTextFormattedCitation":"(O’Reilly et al. 2017)","previouslyFormattedCitation":"(O’Reilly et al. 2017)"},"properties":{"noteIndex":0},"schema":"https://github.com/citation-style-language/schema/raw/master/csl-citation.json"}</w:instrText>
      </w:r>
      <w:r w:rsidRPr="00076670">
        <w:rPr>
          <w:color w:val="000000"/>
          <w:sz w:val="20"/>
          <w:szCs w:val="20"/>
        </w:rPr>
        <w:fldChar w:fldCharType="separate"/>
      </w:r>
      <w:r w:rsidRPr="00076670">
        <w:rPr>
          <w:noProof/>
          <w:color w:val="000000"/>
          <w:sz w:val="20"/>
          <w:szCs w:val="20"/>
        </w:rPr>
        <w:t>(O’Reilly et al. 2017)</w:t>
      </w:r>
      <w:r w:rsidRPr="00076670">
        <w:rPr>
          <w:color w:val="000000"/>
          <w:sz w:val="20"/>
          <w:szCs w:val="20"/>
        </w:rPr>
        <w:fldChar w:fldCharType="end"/>
      </w:r>
      <w:r w:rsidRPr="00076670">
        <w:rPr>
          <w:color w:val="000000"/>
          <w:sz w:val="20"/>
          <w:szCs w:val="20"/>
        </w:rPr>
        <w:t>. Based on these insights, novel medicines are currently undergoing different phases of preclinical or clinical research.</w:t>
      </w:r>
    </w:p>
    <w:p w14:paraId="4191E87A" w14:textId="77777777" w:rsidR="00076670" w:rsidRPr="00076670" w:rsidRDefault="00076670" w:rsidP="00076670">
      <w:pPr>
        <w:pStyle w:val="ListParagraph"/>
        <w:tabs>
          <w:tab w:val="left" w:pos="-450"/>
        </w:tabs>
        <w:spacing w:line="276" w:lineRule="auto"/>
        <w:ind w:left="0" w:right="-29" w:firstLine="0"/>
        <w:jc w:val="both"/>
        <w:rPr>
          <w:b/>
          <w:color w:val="000000"/>
          <w:spacing w:val="-2"/>
          <w:sz w:val="20"/>
          <w:szCs w:val="20"/>
        </w:rPr>
      </w:pPr>
    </w:p>
    <w:p w14:paraId="1AE4EB1F" w14:textId="77777777" w:rsidR="00D460AE" w:rsidRPr="00076670" w:rsidRDefault="00000000" w:rsidP="00076670">
      <w:pPr>
        <w:pStyle w:val="Heading4"/>
        <w:tabs>
          <w:tab w:val="left" w:pos="0"/>
        </w:tabs>
        <w:spacing w:line="276" w:lineRule="auto"/>
        <w:ind w:left="0" w:right="-29"/>
        <w:jc w:val="both"/>
        <w:rPr>
          <w:color w:val="000000"/>
          <w:spacing w:val="-2"/>
          <w:sz w:val="20"/>
          <w:szCs w:val="20"/>
        </w:rPr>
      </w:pPr>
      <w:bookmarkStart w:id="1" w:name="1.2_Epidemiology:"/>
      <w:bookmarkEnd w:id="1"/>
      <w:r w:rsidRPr="00076670">
        <w:rPr>
          <w:color w:val="000000"/>
          <w:spacing w:val="-2"/>
          <w:sz w:val="20"/>
          <w:szCs w:val="20"/>
        </w:rPr>
        <w:t>Epidemiology:</w:t>
      </w:r>
    </w:p>
    <w:p w14:paraId="5B1CB75D" w14:textId="77777777" w:rsidR="00D460AE" w:rsidRPr="00076670" w:rsidRDefault="00000000" w:rsidP="00076670">
      <w:pPr>
        <w:pStyle w:val="Heading4"/>
        <w:tabs>
          <w:tab w:val="left" w:pos="0"/>
        </w:tabs>
        <w:spacing w:line="276" w:lineRule="auto"/>
        <w:ind w:left="0" w:right="-29"/>
        <w:jc w:val="both"/>
        <w:rPr>
          <w:b w:val="0"/>
          <w:color w:val="000000"/>
          <w:sz w:val="20"/>
          <w:szCs w:val="20"/>
        </w:rPr>
      </w:pPr>
      <w:r w:rsidRPr="00076670">
        <w:rPr>
          <w:color w:val="000000"/>
          <w:spacing w:val="-2"/>
          <w:sz w:val="20"/>
          <w:szCs w:val="20"/>
        </w:rPr>
        <w:t xml:space="preserve"> </w:t>
      </w:r>
      <w:r w:rsidRPr="00076670">
        <w:rPr>
          <w:b w:val="0"/>
          <w:color w:val="000000"/>
          <w:sz w:val="20"/>
          <w:szCs w:val="20"/>
        </w:rPr>
        <w:t>PCOS is</w:t>
      </w:r>
      <w:r w:rsidRPr="00076670">
        <w:rPr>
          <w:b w:val="0"/>
          <w:color w:val="000000"/>
          <w:spacing w:val="-5"/>
          <w:sz w:val="20"/>
          <w:szCs w:val="20"/>
        </w:rPr>
        <w:t xml:space="preserve"> </w:t>
      </w:r>
      <w:r w:rsidRPr="00076670">
        <w:rPr>
          <w:b w:val="0"/>
          <w:color w:val="000000"/>
          <w:sz w:val="20"/>
          <w:szCs w:val="20"/>
        </w:rPr>
        <w:t>a prevalent endocrine ailment that affects women</w:t>
      </w:r>
      <w:r w:rsidRPr="00076670">
        <w:rPr>
          <w:b w:val="0"/>
          <w:color w:val="000000"/>
          <w:spacing w:val="-7"/>
          <w:sz w:val="20"/>
          <w:szCs w:val="20"/>
        </w:rPr>
        <w:t xml:space="preserve"> </w:t>
      </w:r>
      <w:r w:rsidRPr="00076670">
        <w:rPr>
          <w:b w:val="0"/>
          <w:color w:val="000000"/>
          <w:sz w:val="20"/>
          <w:szCs w:val="20"/>
        </w:rPr>
        <w:t>who are</w:t>
      </w:r>
      <w:r w:rsidRPr="00076670">
        <w:rPr>
          <w:b w:val="0"/>
          <w:color w:val="000000"/>
          <w:spacing w:val="-4"/>
          <w:sz w:val="20"/>
          <w:szCs w:val="20"/>
        </w:rPr>
        <w:t xml:space="preserve"> </w:t>
      </w:r>
      <w:r w:rsidRPr="00076670">
        <w:rPr>
          <w:b w:val="0"/>
          <w:color w:val="000000"/>
          <w:sz w:val="20"/>
          <w:szCs w:val="20"/>
        </w:rPr>
        <w:t>fertile, with</w:t>
      </w:r>
      <w:r w:rsidRPr="00076670">
        <w:rPr>
          <w:b w:val="0"/>
          <w:color w:val="000000"/>
          <w:spacing w:val="-7"/>
          <w:sz w:val="20"/>
          <w:szCs w:val="20"/>
        </w:rPr>
        <w:t xml:space="preserve"> </w:t>
      </w:r>
      <w:r w:rsidRPr="00076670">
        <w:rPr>
          <w:b w:val="0"/>
          <w:color w:val="000000"/>
          <w:sz w:val="20"/>
          <w:szCs w:val="20"/>
        </w:rPr>
        <w:t>a prevalence that varies from 4 to 21% depending on the diagnostic standards applied</w:t>
      </w:r>
      <w:r w:rsidRPr="00076670">
        <w:rPr>
          <w:b w:val="0"/>
          <w:color w:val="000000"/>
          <w:sz w:val="20"/>
          <w:szCs w:val="20"/>
        </w:rPr>
        <w:fldChar w:fldCharType="begin"/>
      </w:r>
      <w:r w:rsidRPr="00076670">
        <w:rPr>
          <w:b w:val="0"/>
          <w:color w:val="000000"/>
          <w:sz w:val="20"/>
          <w:szCs w:val="20"/>
        </w:rPr>
        <w:instrText>ADDIN CSL_CITATION {"citationItems":[{"id":"ITEM-1","itemData":{"DOI":"10.1016/j.fertnstert.2016.05.003","ISSN":"15565653","PMID":"27233760","abstract":"Polycystic ovary syndrome (PCOS) is a highly prevalent disorder effecting reproductive-aged women worldwide. This article addresses the evolution of the criteria used to diagnosis PCOS; reviews recent advances in the phenotypic approach, specifically in the context of the extended Rotterdam criteria; discusses limitations of the current criteria used to diagnosis, particularly when studying adolescents and women in the peri- and postmenopause; and describes significant strides made in understanding the epidemiology of PCOS. This review recognizes that although there is a high prevalence of PCOS, there is increased variability when using Rotterdam 2003 criteria, owing to limitations in population sampling and approaches used to define PCOS phenotypes. Last, we discuss the distribution of PCOS phenotypes, their morbidity, and the role that referral bias plays in the epidemiology of this syndrome.","author":[{"dropping-particle":"","family":"Lizneva","given":"Daria","non-dropping-particle":"","parse-names":false,"suffix":""},{"dropping-particle":"","family":"Suturina","given":"Larisa","non-dropping-particle":"","parse-names":false,"suffix":""},{"dropping-particle":"","family":"Walker","given":"Walidah","non-dropping-particle":"","parse-names":false,"suffix":""},{"dropping-particle":"","family":"Brakta","given":"Soumia","non-dropping-particle":"","parse-names":false,"suffix":""},{"dropping-particle":"","family":"Gavrilova-Jordan","given":"Larisa","non-dropping-particle":"","parse-names":false,"suffix":""},{"dropping-particle":"","family":"Azziz","given":"Ricardo","non-dropping-particle":"","parse-names":false,"suffix":""}],"container-title":"Fertility and Sterility","id":"ITEM-1","issue":"1","issued":{"date-parts":[["2016"]]},"page":"6-15","publisher":"Elsevier Inc.","title":"Criteria, prevalence, and phenotypes of polycystic ovary syndrome","type":"article-journal","volume":"106"},"uris":["http://www.mendeley.com/documents/?uuid=ede3f600-c32a-4bab-9001-1719e0f3863f"]}],"mendeley":{"formattedCitation":"(Lizneva et al. 2016)","plainTextFormattedCitation":"(Lizneva et al. 2016)","previouslyFormattedCitation":"(Lizneva et al. 2016)"},"properties":{"noteIndex":0},"schema":"https://github.com/citation-style-language/schema/raw/master/csl-citation.json"}</w:instrText>
      </w:r>
      <w:r w:rsidRPr="00076670">
        <w:rPr>
          <w:b w:val="0"/>
          <w:color w:val="000000"/>
          <w:sz w:val="20"/>
          <w:szCs w:val="20"/>
        </w:rPr>
        <w:fldChar w:fldCharType="separate"/>
      </w:r>
      <w:r w:rsidRPr="00076670">
        <w:rPr>
          <w:b w:val="0"/>
          <w:noProof/>
          <w:color w:val="000000"/>
          <w:sz w:val="20"/>
          <w:szCs w:val="20"/>
        </w:rPr>
        <w:t>(Lizneva et al. 2016)</w:t>
      </w:r>
      <w:r w:rsidRPr="00076670">
        <w:rPr>
          <w:b w:val="0"/>
          <w:color w:val="000000"/>
          <w:sz w:val="20"/>
          <w:szCs w:val="20"/>
        </w:rPr>
        <w:fldChar w:fldCharType="end"/>
      </w:r>
      <w:r w:rsidRPr="00076670">
        <w:rPr>
          <w:b w:val="0"/>
          <w:color w:val="000000"/>
          <w:sz w:val="20"/>
          <w:szCs w:val="20"/>
        </w:rPr>
        <w:t xml:space="preserve">. The prevalence among </w:t>
      </w:r>
      <w:r w:rsidRPr="00076670">
        <w:rPr>
          <w:b w:val="0"/>
          <w:color w:val="000000"/>
          <w:sz w:val="20"/>
          <w:szCs w:val="20"/>
        </w:rPr>
        <w:lastRenderedPageBreak/>
        <w:t>black and Middle</w:t>
      </w:r>
      <w:r w:rsidRPr="00076670">
        <w:rPr>
          <w:b w:val="0"/>
          <w:color w:val="000000"/>
          <w:spacing w:val="-4"/>
          <w:sz w:val="20"/>
          <w:szCs w:val="20"/>
        </w:rPr>
        <w:t xml:space="preserve"> </w:t>
      </w:r>
      <w:r w:rsidRPr="00076670">
        <w:rPr>
          <w:b w:val="0"/>
          <w:color w:val="000000"/>
          <w:sz w:val="20"/>
          <w:szCs w:val="20"/>
        </w:rPr>
        <w:t>Eastern</w:t>
      </w:r>
      <w:r w:rsidRPr="00076670">
        <w:rPr>
          <w:b w:val="0"/>
          <w:color w:val="000000"/>
          <w:spacing w:val="-12"/>
          <w:sz w:val="20"/>
          <w:szCs w:val="20"/>
        </w:rPr>
        <w:t xml:space="preserve"> </w:t>
      </w:r>
      <w:r w:rsidRPr="00076670">
        <w:rPr>
          <w:b w:val="0"/>
          <w:color w:val="000000"/>
          <w:sz w:val="20"/>
          <w:szCs w:val="20"/>
        </w:rPr>
        <w:t>populations</w:t>
      </w:r>
      <w:r w:rsidRPr="00076670">
        <w:rPr>
          <w:b w:val="0"/>
          <w:color w:val="000000"/>
          <w:spacing w:val="-5"/>
          <w:sz w:val="20"/>
          <w:szCs w:val="20"/>
        </w:rPr>
        <w:t xml:space="preserve"> </w:t>
      </w:r>
      <w:r w:rsidRPr="00076670">
        <w:rPr>
          <w:b w:val="0"/>
          <w:color w:val="000000"/>
          <w:sz w:val="20"/>
          <w:szCs w:val="20"/>
        </w:rPr>
        <w:t>was found</w:t>
      </w:r>
      <w:r w:rsidRPr="00076670">
        <w:rPr>
          <w:b w:val="0"/>
          <w:color w:val="000000"/>
          <w:spacing w:val="-8"/>
          <w:sz w:val="20"/>
          <w:szCs w:val="20"/>
        </w:rPr>
        <w:t xml:space="preserve"> </w:t>
      </w:r>
      <w:r w:rsidRPr="00076670">
        <w:rPr>
          <w:b w:val="0"/>
          <w:color w:val="000000"/>
          <w:sz w:val="20"/>
          <w:szCs w:val="20"/>
        </w:rPr>
        <w:t>to be</w:t>
      </w:r>
      <w:r w:rsidRPr="00076670">
        <w:rPr>
          <w:b w:val="0"/>
          <w:color w:val="000000"/>
          <w:spacing w:val="-4"/>
          <w:sz w:val="20"/>
          <w:szCs w:val="20"/>
        </w:rPr>
        <w:t xml:space="preserve"> </w:t>
      </w:r>
      <w:r w:rsidRPr="00076670">
        <w:rPr>
          <w:b w:val="0"/>
          <w:color w:val="000000"/>
          <w:sz w:val="20"/>
          <w:szCs w:val="20"/>
        </w:rPr>
        <w:t>slightly</w:t>
      </w:r>
      <w:r w:rsidRPr="00076670">
        <w:rPr>
          <w:b w:val="0"/>
          <w:color w:val="000000"/>
          <w:spacing w:val="-21"/>
          <w:sz w:val="20"/>
          <w:szCs w:val="20"/>
        </w:rPr>
        <w:t xml:space="preserve"> </w:t>
      </w:r>
      <w:r w:rsidRPr="00076670">
        <w:rPr>
          <w:b w:val="0"/>
          <w:color w:val="000000"/>
          <w:sz w:val="20"/>
          <w:szCs w:val="20"/>
        </w:rPr>
        <w:t>greater</w:t>
      </w:r>
      <w:r w:rsidRPr="00076670">
        <w:rPr>
          <w:b w:val="0"/>
          <w:color w:val="000000"/>
          <w:spacing w:val="-1"/>
          <w:sz w:val="20"/>
          <w:szCs w:val="20"/>
        </w:rPr>
        <w:t xml:space="preserve"> </w:t>
      </w:r>
      <w:r w:rsidRPr="00076670">
        <w:rPr>
          <w:b w:val="0"/>
          <w:color w:val="000000"/>
          <w:sz w:val="20"/>
          <w:szCs w:val="20"/>
        </w:rPr>
        <w:t>than in</w:t>
      </w:r>
      <w:r w:rsidRPr="00076670">
        <w:rPr>
          <w:b w:val="0"/>
          <w:color w:val="000000"/>
          <w:spacing w:val="-13"/>
          <w:sz w:val="20"/>
          <w:szCs w:val="20"/>
        </w:rPr>
        <w:t xml:space="preserve"> </w:t>
      </w:r>
      <w:r w:rsidRPr="00076670">
        <w:rPr>
          <w:b w:val="0"/>
          <w:color w:val="000000"/>
          <w:sz w:val="20"/>
          <w:szCs w:val="20"/>
        </w:rPr>
        <w:t>Chinese and White populations, according to a systematic assessment of 13 studies</w:t>
      </w:r>
      <w:r w:rsidRPr="00076670">
        <w:rPr>
          <w:b w:val="0"/>
          <w:color w:val="000000"/>
          <w:sz w:val="20"/>
          <w:szCs w:val="20"/>
        </w:rPr>
        <w:fldChar w:fldCharType="begin"/>
      </w:r>
      <w:r w:rsidRPr="00076670">
        <w:rPr>
          <w:b w:val="0"/>
          <w:color w:val="000000"/>
          <w:sz w:val="20"/>
          <w:szCs w:val="20"/>
        </w:rPr>
        <w:instrText>ADDIN CSL_CITATION {"citationItems":[{"id":"ITEM-1","itemData":{"DOI":"10.1530/endoabs.50.p339","abstract":"The prevalence of PCOS was investigated in many studies in different continents. However, there is no established prevalence of PCOS for distinct ethnic groups. In the current analysis, we conducted searches in PubMed, The Cochrane Library, EMBASE, CINAHL up to Jan. 2017 to identify studies reporting prevalence of PCOS in the general female population. Forty-two studies were identified, with 13 eligible for evidence synthesis. The prevalence among different ethnicity was estimated using random effect modelling. Our results suggested the lowest prevalence in Chinese women(2003 Rotterdam criterion: 5.6% 95% interval: 4.4-7.3%), and then in an ascending order for Caucasians (1990 NIH criterion: 5.5% 95% interval: 4.8-6.3%), Middle Eastern (1990 NIH 6.1% 95% interval: 5.3-7.1%; 2003 Rotterdam 16.0% 95% interval: 13.8-18.6%; 2006 AES 12.6% 95% interval: 11.3-14.2%), and Black women (1990 NIH: 6.1% 95% interval: 5.3-7.1%).There is variation in prevalence of PCOS under different diagnostic criteria and across ethnic groups. This emphasises the need for ethnicity-specific guidelines for PCOS to prevent under-or over-diagnosis of the condition given that under-diagnosis may lead to rapid conversion of metabolic disorders for patients whereas over-diagnosis may exert negative psychological effects on patients which worsens the major symptoms of PCOS.","author":[{"dropping-particle":"","family":"Kahal","given":"Hassan","non-dropping-particle":"","parse-names":false,"suffix":""},{"dropping-particle":"","family":"Kyrou","given":"Ioannis","non-dropping-particle":"","parse-names":false,"suffix":""},{"dropping-particle":"","family":"Uthman","given":"Olalekan","non-dropping-particle":"","parse-names":false,"suffix":""},{"dropping-particle":"","family":"Brown","given":"Anna","non-dropping-particle":"","parse-names":false,"suffix":""},{"dropping-particle":"","family":"Johnson","given":"Samantha","non-dropping-particle":"","parse-names":false,"suffix":""},{"dropping-particle":"","family":"Wall","given":"Peter","non-dropping-particle":"","parse-names":false,"suffix":""},{"dropping-particle":"","family":"Metcalfe","given":"Andrew","non-dropping-particle":"","parse-names":false,"suffix":""},{"dropping-particle":"","family":"Tahrani","given":"Abd","non-dropping-particle":"","parse-names":false,"suffix":""},{"dropping-particle":"","family":"Randeva","given":"Harpal","non-dropping-particle":"","parse-names":false,"suffix":""}],"container-title":"Endocrine Abstracts","id":"ITEM-1","issue":"56","issued":{"date-parts":[["2017"]]},"page":"96351-96358","title":"The Prevalence of Obstructive Sleep Apnoea in women with Polycystic Ovary Syndrome: a Systematic Review and Meta-analysis","type":"article-journal","volume":"8"},"uris":["http://www.mendeley.com/documents/?uuid=5a27b5a4-cfb9-4b9b-8c05-ae0cb2f02f1d"]}],"mendeley":{"formattedCitation":"(Kahal et al. 2017)","plainTextFormattedCitation":"(Kahal et al. 2017)","previouslyFormattedCitation":"(Kahal et al. 2017)"},"properties":{"noteIndex":0},"schema":"https://github.com/citation-style-language/schema/raw/master/csl-citation.json"}</w:instrText>
      </w:r>
      <w:r w:rsidRPr="00076670">
        <w:rPr>
          <w:b w:val="0"/>
          <w:color w:val="000000"/>
          <w:sz w:val="20"/>
          <w:szCs w:val="20"/>
        </w:rPr>
        <w:fldChar w:fldCharType="separate"/>
      </w:r>
      <w:r w:rsidRPr="00076670">
        <w:rPr>
          <w:b w:val="0"/>
          <w:noProof/>
          <w:color w:val="000000"/>
          <w:sz w:val="20"/>
          <w:szCs w:val="20"/>
        </w:rPr>
        <w:t>(Kahal et al. 2017)</w:t>
      </w:r>
      <w:r w:rsidRPr="00076670">
        <w:rPr>
          <w:b w:val="0"/>
          <w:color w:val="000000"/>
          <w:sz w:val="20"/>
          <w:szCs w:val="20"/>
        </w:rPr>
        <w:fldChar w:fldCharType="end"/>
      </w:r>
      <w:r w:rsidRPr="00076670">
        <w:rPr>
          <w:b w:val="0"/>
          <w:color w:val="000000"/>
          <w:sz w:val="20"/>
          <w:szCs w:val="20"/>
        </w:rPr>
        <w:t>. However, comparisons between ethnic groups are difficult due to variations in diagnostic criteria and recruiting strategies</w:t>
      </w:r>
      <w:r w:rsidRPr="00076670">
        <w:rPr>
          <w:b w:val="0"/>
          <w:color w:val="000000"/>
          <w:sz w:val="20"/>
          <w:szCs w:val="20"/>
        </w:rPr>
        <w:fldChar w:fldCharType="begin"/>
      </w:r>
      <w:r w:rsidRPr="00076670">
        <w:rPr>
          <w:b w:val="0"/>
          <w:color w:val="000000"/>
          <w:sz w:val="20"/>
          <w:szCs w:val="20"/>
        </w:rPr>
        <w:instrText>ADDIN CSL_CITATION {"citationItems":[{"id":"ITEM-1","itemData":{"DOI":"10.3390/ijerph15112589","ISSN":"16604601","PMID":"30463276","abstract":"Polycystic ovarian syndrome (PCOS) is thought to be the most common endocrine disorder found in women. Common symptoms include irregular menstrual cycle, polycystic ovaries, and hirsutism, as well as an increased risk for a multitude of conditions, including insulin resistance, dyslipidemia and infertility. The prevalence of polycystic ovarian syndrome is generally thought to be between 3% and 10% but it is widely unknown for specific subpopulations based on geographical location and race/ethnicity. Based on the high degree of variability and inconsistencies between the different diagnostic criteria, there is a unique challenge that exists when determining the prevalence of this syndrome. There are a large percentage of individuals that remain undiagnosed even after visiting multiple health care providers. Most studies conducted across the world are limited by small sample size, selection bias, and lack of comparability across studies. There have been very few studies that have examined the prevalence of polycystic ovary syndrome across the United States. Based on the National Institutes of Health (NIH)’s diagnostic criteria, there is a similar prevalence of PCOS documented across the United States, the United Kingdom, Spain, Greece, Australia, and Mexico. Other studies have shown some differences between geographical location and race. The existing data is not conclusive enough to determine whether or not there is any significant differences in the prevalence of PCOS across geographical location, racial or ethnic groups. This review will seek to determine the prevalence of polycystic ovarian syndrome based on geographical location and race/ethnicity.","author":[{"dropping-particle":"","family":"Wolf","given":"Wendy M.","non-dropping-particle":"","parse-names":false,"suffix":""},{"dropping-particle":"","family":"Wattick","given":"Rachel A.","non-dropping-particle":"","parse-names":false,"suffix":""},{"dropping-particle":"","family":"Kinkade","given":"Olivia N.","non-dropping-particle":"","parse-names":false,"suffix":""},{"dropping-particle":"","family":"Olfert","given":"Melissa D.","non-dropping-particle":"","parse-names":false,"suffix":""}],"container-title":"International Journal of Environmental Research and Public Health","id":"ITEM-1","issue":"11","issued":{"date-parts":[["2018"]]},"page":"1-13","title":"Geographical prevalence of polycystic ovary syndrome as determined by region and race/ethnicity","type":"article-journal","volume":"15"},"uris":["http://www.mendeley.com/documents/?uuid=900a0692-b1d3-48bf-94d6-869e146fefaa"]}],"mendeley":{"formattedCitation":"(Wolf et al. 2018)","plainTextFormattedCitation":"(Wolf et al. 2018)","previouslyFormattedCitation":"(Wolf et al. 2018)"},"properties":{"noteIndex":0},"schema":"https://github.com/citation-style-language/schema/raw/master/csl-citation.json"}</w:instrText>
      </w:r>
      <w:r w:rsidRPr="00076670">
        <w:rPr>
          <w:b w:val="0"/>
          <w:color w:val="000000"/>
          <w:sz w:val="20"/>
          <w:szCs w:val="20"/>
        </w:rPr>
        <w:fldChar w:fldCharType="separate"/>
      </w:r>
      <w:r w:rsidRPr="00076670">
        <w:rPr>
          <w:b w:val="0"/>
          <w:noProof/>
          <w:color w:val="000000"/>
          <w:sz w:val="20"/>
          <w:szCs w:val="20"/>
        </w:rPr>
        <w:t>(Wolf et al. 2018)</w:t>
      </w:r>
      <w:r w:rsidRPr="00076670">
        <w:rPr>
          <w:b w:val="0"/>
          <w:color w:val="000000"/>
          <w:sz w:val="20"/>
          <w:szCs w:val="20"/>
        </w:rPr>
        <w:fldChar w:fldCharType="end"/>
      </w:r>
      <w:r w:rsidRPr="00076670">
        <w:rPr>
          <w:b w:val="0"/>
          <w:color w:val="000000"/>
          <w:sz w:val="20"/>
          <w:szCs w:val="20"/>
        </w:rPr>
        <w:t>. There appears to be a rapid rise in the burden of disease worldwide. 2019 data from</w:t>
      </w:r>
      <w:r w:rsidRPr="00076670">
        <w:rPr>
          <w:b w:val="0"/>
          <w:color w:val="000000"/>
          <w:spacing w:val="-9"/>
          <w:sz w:val="20"/>
          <w:szCs w:val="20"/>
        </w:rPr>
        <w:t xml:space="preserve"> </w:t>
      </w:r>
      <w:r w:rsidRPr="00076670">
        <w:rPr>
          <w:b w:val="0"/>
          <w:color w:val="000000"/>
          <w:sz w:val="20"/>
          <w:szCs w:val="20"/>
        </w:rPr>
        <w:t>204 countries showed an annual incidence of 59.8 per 100 000 people and an age norms percentage occurance of 1677.8 per 100 000, which represents increases of</w:t>
      </w:r>
      <w:r w:rsidRPr="00076670">
        <w:rPr>
          <w:b w:val="0"/>
          <w:color w:val="000000"/>
          <w:spacing w:val="-2"/>
          <w:sz w:val="20"/>
          <w:szCs w:val="20"/>
        </w:rPr>
        <w:t xml:space="preserve"> </w:t>
      </w:r>
      <w:r w:rsidRPr="00076670">
        <w:rPr>
          <w:b w:val="0"/>
          <w:color w:val="000000"/>
          <w:sz w:val="20"/>
          <w:szCs w:val="20"/>
        </w:rPr>
        <w:t>30.4% and 29.5%, respectively, since 1990</w:t>
      </w:r>
      <w:r w:rsidRPr="00076670">
        <w:rPr>
          <w:b w:val="0"/>
          <w:color w:val="000000"/>
          <w:sz w:val="20"/>
          <w:szCs w:val="20"/>
        </w:rPr>
        <w:fldChar w:fldCharType="begin"/>
      </w:r>
      <w:r w:rsidRPr="00076670">
        <w:rPr>
          <w:b w:val="0"/>
          <w:color w:val="000000"/>
          <w:sz w:val="20"/>
          <w:szCs w:val="20"/>
        </w:rPr>
        <w:instrText>ADDIN CSL_CITATION {"citationItems":[{"id":"ITEM-1","itemData":{"DOI":"10.1093/humrep/deac091","ISSN":"14602350","PMID":"35586937","abstract":"STUDY QUESTION: What is the global, regional and national burden of polycystic ovary syndrome (PCOS), by age and sociodemographic index (SDI), over the period 1990–2019? SUMMARY ANSWER: In 2019, the global age-standardized point prevalence, incidence and years lived with disability (YLD) of PCOS were 30.4, 29.5 and 29.9 per 100 000 population, respectively. WHAT IS KNOWN ALREADY: Data from the Global Burden of Disease (GBD) study 2017 showed that the global age-standardized PCOS incidence rate increased 1.45% over the period 1990–2017. STUDY DESIGN, SIZE, DURATION: A systematic analysis of the PCOS prevalence, incidence and YLDs across 204 countries and territories was performed. PARTICIPANTS/MATERIALS, SETTING, METHODS: Data on the point prevalence, annual incidence and YLDs due to PCOS were retrieved from the GBD study 2019 for 204 countries and territories from 1990 to 2019. The counts and age-standardized rates (per 100 000) are presented, along with their corresponding 95% uncertainty intervals (UIs). MAIN RESULTS AND THE ROLE OF CHANCE: In 2019, the global age-standardized point prevalence and annual incidence rates for PCOS were 1677.8 (95% UI: 1166.0 to 2192.4) and 59.8 (95% UI: 41.7 to 78.9) per 100 000, which represents a 30.4% and 29.5% increase since 1990, respectively. Moreover, the global age-standardized YLD rate in 2019 was 14.7 (6.3–29.5), an increase of 29.9% since 1990. In 2019, Italy (7897.0), Japan (6298.7) and New Zealand (5419.1) had the highest estimated age-standardized point prevalences of PCOS. Globally, the number of prevalent cases and the point prevalence of PCOS peaked in the 25–29 years and 40–44 years age groups, respectively. Positive associations were found between the burden of PCOS and the SDI at the regional and national levels. LIMITATIONS, REASONS FOR CAUTION: Variations in how PCOS was defined is a major limitation that prevents valid comparisons between different regions.","author":[{"dropping-particle":"","family":"Safiri","given":"Saeid","non-dropping-particle":"","parse-names":false,"suffix":""},{"dropping-particle":"","family":"Noori","given":"Maryam","non-dropping-particle":"","parse-names":false,"suffix":""},{"dropping-particle":"","family":"Nejadghaderi","given":"Seyed Aria","non-dropping-particle":"","parse-names":false,"suffix":""},{"dropping-particle":"","family":"Karamzad","given":"Nahid","non-dropping-particle":"","parse-names":false,"suffix":""},{"dropping-particle":"","family":"Carson-Chahhoud","given":"Kristin","non-dropping-particle":"","parse-names":false,"suffix":""},{"dropping-particle":"","family":"Sullman","given":"Mark J.M.","non-dropping-particle":"","parse-names":false,"suffix":""},{"dropping-particle":"","family":"Collins","given":"Gary S.","non-dropping-particle":"","parse-names":false,"suffix":""},{"dropping-particle":"","family":"Kolahi","given":"Ali Asghar","non-dropping-particle":"","parse-names":false,"suffix":""},{"dropping-particle":"","family":"Avery","given":"Jodie","non-dropping-particle":"","parse-names":false,"suffix":""}],"container-title":"Human Reproduction","id":"ITEM-1","issue":"8","issued":{"date-parts":[["2022"]]},"page":"1919-1931","title":"Prevalence, incidence and years lived with disability due to polycystic ovary syndrome in 204 countries and territories, 1990–2019","type":"article-journal","volume":"37"},"uris":["http://www.mendeley.com/documents/?uuid=0a2dae26-e325-4f6a-8a10-e4feaa15b9cc"]}],"mendeley":{"formattedCitation":"(Safiri et al. 2022)","plainTextFormattedCitation":"(Safiri et al. 2022)","previouslyFormattedCitation":"(Safiri et al. 2022)"},"properties":{"noteIndex":0},"schema":"https://github.com/citation-style-language/schema/raw/master/csl-citation.json"}</w:instrText>
      </w:r>
      <w:r w:rsidRPr="00076670">
        <w:rPr>
          <w:b w:val="0"/>
          <w:color w:val="000000"/>
          <w:sz w:val="20"/>
          <w:szCs w:val="20"/>
        </w:rPr>
        <w:fldChar w:fldCharType="separate"/>
      </w:r>
      <w:r w:rsidRPr="00076670">
        <w:rPr>
          <w:b w:val="0"/>
          <w:noProof/>
          <w:color w:val="000000"/>
          <w:sz w:val="20"/>
          <w:szCs w:val="20"/>
        </w:rPr>
        <w:t>(Safiri et al. 2022)</w:t>
      </w:r>
      <w:r w:rsidRPr="00076670">
        <w:rPr>
          <w:b w:val="0"/>
          <w:color w:val="000000"/>
          <w:sz w:val="20"/>
          <w:szCs w:val="20"/>
        </w:rPr>
        <w:fldChar w:fldCharType="end"/>
      </w:r>
      <w:r w:rsidRPr="00076670">
        <w:rPr>
          <w:b w:val="0"/>
          <w:color w:val="000000"/>
          <w:sz w:val="20"/>
          <w:szCs w:val="20"/>
        </w:rPr>
        <w:t>. The increasing prevalence highlighted how crucial</w:t>
      </w:r>
      <w:r w:rsidRPr="00076670">
        <w:rPr>
          <w:b w:val="0"/>
          <w:color w:val="000000"/>
          <w:spacing w:val="40"/>
          <w:sz w:val="20"/>
          <w:szCs w:val="20"/>
        </w:rPr>
        <w:t xml:space="preserve"> </w:t>
      </w:r>
      <w:r w:rsidRPr="00076670">
        <w:rPr>
          <w:b w:val="0"/>
          <w:color w:val="000000"/>
          <w:sz w:val="20"/>
          <w:szCs w:val="20"/>
        </w:rPr>
        <w:t>it</w:t>
      </w:r>
      <w:r w:rsidRPr="00076670">
        <w:rPr>
          <w:b w:val="0"/>
          <w:color w:val="000000"/>
          <w:spacing w:val="40"/>
          <w:sz w:val="20"/>
          <w:szCs w:val="20"/>
        </w:rPr>
        <w:t xml:space="preserve"> </w:t>
      </w:r>
      <w:r w:rsidRPr="00076670">
        <w:rPr>
          <w:b w:val="0"/>
          <w:color w:val="000000"/>
          <w:sz w:val="20"/>
          <w:szCs w:val="20"/>
        </w:rPr>
        <w:t>is to identify polycystic ovarian disease.</w:t>
      </w:r>
    </w:p>
    <w:p w14:paraId="382FE3D3" w14:textId="77777777" w:rsidR="00076670" w:rsidRDefault="00076670" w:rsidP="00076670">
      <w:pPr>
        <w:spacing w:after="0"/>
        <w:ind w:right="-29"/>
        <w:jc w:val="both"/>
        <w:rPr>
          <w:rFonts w:ascii="Times New Roman" w:hAnsi="Times New Roman" w:cs="Times New Roman"/>
          <w:b/>
          <w:color w:val="000000"/>
          <w:spacing w:val="-2"/>
          <w:sz w:val="20"/>
          <w:szCs w:val="20"/>
        </w:rPr>
      </w:pPr>
    </w:p>
    <w:p w14:paraId="77B33FFA" w14:textId="6707FADD" w:rsidR="00D460AE" w:rsidRPr="00076670" w:rsidRDefault="00000000" w:rsidP="00076670">
      <w:pPr>
        <w:spacing w:after="0"/>
        <w:ind w:right="-29"/>
        <w:jc w:val="both"/>
        <w:rPr>
          <w:rFonts w:ascii="Times New Roman" w:hAnsi="Times New Roman" w:cs="Times New Roman"/>
          <w:b/>
          <w:color w:val="000000"/>
          <w:spacing w:val="-2"/>
          <w:sz w:val="20"/>
          <w:szCs w:val="20"/>
        </w:rPr>
      </w:pPr>
      <w:r w:rsidRPr="00076670">
        <w:rPr>
          <w:rFonts w:ascii="Times New Roman" w:hAnsi="Times New Roman" w:cs="Times New Roman"/>
          <w:b/>
          <w:color w:val="000000"/>
          <w:spacing w:val="-2"/>
          <w:sz w:val="20"/>
          <w:szCs w:val="20"/>
        </w:rPr>
        <w:t>Plant Profile:</w:t>
      </w:r>
    </w:p>
    <w:p w14:paraId="32AA47D1" w14:textId="77777777" w:rsidR="00D460AE" w:rsidRPr="00076670" w:rsidRDefault="00000000" w:rsidP="00076670">
      <w:pPr>
        <w:spacing w:after="0"/>
        <w:ind w:right="-29"/>
        <w:jc w:val="both"/>
        <w:rPr>
          <w:rFonts w:ascii="Times New Roman" w:hAnsi="Times New Roman" w:cs="Times New Roman"/>
          <w:b/>
          <w:i/>
          <w:color w:val="000000"/>
          <w:spacing w:val="-2"/>
          <w:sz w:val="20"/>
          <w:szCs w:val="20"/>
        </w:rPr>
      </w:pPr>
      <w:r w:rsidRPr="00076670">
        <w:rPr>
          <w:rFonts w:ascii="Times New Roman" w:hAnsi="Times New Roman" w:cs="Times New Roman"/>
          <w:b/>
          <w:i/>
          <w:color w:val="000000"/>
          <w:spacing w:val="-2"/>
          <w:sz w:val="20"/>
          <w:szCs w:val="20"/>
        </w:rPr>
        <w:t>Tribulus</w:t>
      </w:r>
      <w:r w:rsidRPr="00076670">
        <w:rPr>
          <w:rFonts w:ascii="Times New Roman" w:hAnsi="Times New Roman" w:cs="Times New Roman"/>
          <w:b/>
          <w:i/>
          <w:color w:val="000000"/>
          <w:spacing w:val="-7"/>
          <w:sz w:val="20"/>
          <w:szCs w:val="20"/>
        </w:rPr>
        <w:t xml:space="preserve"> </w:t>
      </w:r>
      <w:r w:rsidRPr="00076670">
        <w:rPr>
          <w:rFonts w:ascii="Times New Roman" w:hAnsi="Times New Roman" w:cs="Times New Roman"/>
          <w:b/>
          <w:i/>
          <w:color w:val="000000"/>
          <w:spacing w:val="-2"/>
          <w:sz w:val="20"/>
          <w:szCs w:val="20"/>
        </w:rPr>
        <w:t>terrestris:</w:t>
      </w:r>
    </w:p>
    <w:p w14:paraId="4991E947" w14:textId="77777777" w:rsidR="00D460AE" w:rsidRPr="00076670" w:rsidRDefault="00000000" w:rsidP="00076670">
      <w:pPr>
        <w:spacing w:after="0"/>
        <w:ind w:right="-29"/>
        <w:jc w:val="both"/>
        <w:rPr>
          <w:rFonts w:ascii="Times New Roman" w:hAnsi="Times New Roman" w:cs="Times New Roman"/>
          <w:b/>
          <w:i/>
          <w:color w:val="000000"/>
          <w:sz w:val="20"/>
          <w:szCs w:val="20"/>
        </w:rPr>
      </w:pPr>
      <w:r w:rsidRPr="00076670">
        <w:rPr>
          <w:rFonts w:ascii="Times New Roman" w:hAnsi="Times New Roman" w:cs="Times New Roman"/>
          <w:b/>
          <w:i/>
          <w:color w:val="000000"/>
          <w:sz w:val="20"/>
          <w:szCs w:val="20"/>
        </w:rPr>
        <w:t xml:space="preserve">                                       </w:t>
      </w:r>
      <w:r w:rsidRPr="00076670">
        <w:rPr>
          <w:rFonts w:ascii="Times New Roman" w:hAnsi="Times New Roman" w:cs="Times New Roman"/>
          <w:b/>
          <w:i/>
          <w:noProof/>
          <w:color w:val="000000"/>
          <w:sz w:val="20"/>
          <w:szCs w:val="20"/>
        </w:rPr>
        <w:drawing>
          <wp:inline distT="0" distB="0" distL="0" distR="0" wp14:anchorId="420C2EE2" wp14:editId="686F6FA9">
            <wp:extent cx="2512612" cy="1709530"/>
            <wp:effectExtent l="0" t="0" r="2540" b="5080"/>
            <wp:docPr id="102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 cstate="print"/>
                    <a:srcRect/>
                    <a:stretch/>
                  </pic:blipFill>
                  <pic:spPr>
                    <a:xfrm>
                      <a:off x="0" y="0"/>
                      <a:ext cx="2512612" cy="1709530"/>
                    </a:xfrm>
                    <a:prstGeom prst="rect">
                      <a:avLst/>
                    </a:prstGeom>
                  </pic:spPr>
                </pic:pic>
              </a:graphicData>
            </a:graphic>
          </wp:inline>
        </w:drawing>
      </w:r>
    </w:p>
    <w:p w14:paraId="7DAF2626" w14:textId="36504085" w:rsidR="00D460AE" w:rsidRDefault="00000000" w:rsidP="00076670">
      <w:pPr>
        <w:tabs>
          <w:tab w:val="left" w:pos="2617"/>
        </w:tabs>
        <w:spacing w:after="0"/>
        <w:ind w:right="-29"/>
        <w:jc w:val="both"/>
        <w:rPr>
          <w:rFonts w:ascii="Times New Roman" w:hAnsi="Times New Roman" w:cs="Times New Roman"/>
          <w:i/>
          <w:color w:val="000000"/>
          <w:sz w:val="20"/>
          <w:szCs w:val="20"/>
        </w:rPr>
      </w:pPr>
      <w:r w:rsidRPr="00076670">
        <w:rPr>
          <w:rFonts w:ascii="Times New Roman" w:hAnsi="Times New Roman" w:cs="Times New Roman"/>
          <w:color w:val="000000"/>
          <w:sz w:val="20"/>
          <w:szCs w:val="20"/>
        </w:rPr>
        <w:t xml:space="preserve">Fig1: </w:t>
      </w:r>
      <w:r w:rsidRPr="00076670">
        <w:rPr>
          <w:rFonts w:ascii="Times New Roman" w:hAnsi="Times New Roman" w:cs="Times New Roman"/>
          <w:i/>
          <w:color w:val="000000"/>
          <w:sz w:val="20"/>
          <w:szCs w:val="20"/>
        </w:rPr>
        <w:t>Tribulus terrestris</w:t>
      </w:r>
      <w:r w:rsidRPr="00076670">
        <w:rPr>
          <w:rFonts w:ascii="Times New Roman" w:hAnsi="Times New Roman" w:cs="Times New Roman"/>
          <w:i/>
          <w:color w:val="000000"/>
          <w:sz w:val="20"/>
          <w:szCs w:val="20"/>
        </w:rPr>
        <w:tab/>
      </w:r>
    </w:p>
    <w:p w14:paraId="69CBC07E" w14:textId="77777777" w:rsidR="00076670" w:rsidRPr="00076670" w:rsidRDefault="00076670" w:rsidP="00076670">
      <w:pPr>
        <w:tabs>
          <w:tab w:val="left" w:pos="2617"/>
        </w:tabs>
        <w:spacing w:after="0"/>
        <w:ind w:right="-29"/>
        <w:jc w:val="both"/>
        <w:rPr>
          <w:rFonts w:ascii="Times New Roman" w:hAnsi="Times New Roman" w:cs="Times New Roman"/>
          <w:i/>
          <w:color w:val="000000"/>
          <w:sz w:val="20"/>
          <w:szCs w:val="20"/>
        </w:rPr>
      </w:pPr>
    </w:p>
    <w:p w14:paraId="43578C72" w14:textId="77777777" w:rsidR="00D460AE" w:rsidRDefault="00000000" w:rsidP="00076670">
      <w:pPr>
        <w:tabs>
          <w:tab w:val="left" w:pos="2617"/>
        </w:tabs>
        <w:spacing w:after="0"/>
        <w:ind w:right="-29"/>
        <w:jc w:val="both"/>
        <w:rPr>
          <w:rFonts w:ascii="Times New Roman" w:hAnsi="Times New Roman" w:cs="Times New Roman"/>
          <w:color w:val="000000"/>
          <w:sz w:val="20"/>
          <w:szCs w:val="20"/>
        </w:rPr>
      </w:pPr>
      <w:r w:rsidRPr="00076670">
        <w:rPr>
          <w:rFonts w:ascii="Times New Roman" w:hAnsi="Times New Roman" w:cs="Times New Roman"/>
          <w:color w:val="000000"/>
          <w:sz w:val="20"/>
          <w:szCs w:val="20"/>
        </w:rPr>
        <w:t xml:space="preserve">In the Zygophyllaceae family, the </w:t>
      </w:r>
      <w:r w:rsidRPr="00076670">
        <w:rPr>
          <w:rFonts w:ascii="Times New Roman" w:hAnsi="Times New Roman" w:cs="Times New Roman"/>
          <w:i/>
          <w:color w:val="000000"/>
          <w:sz w:val="20"/>
          <w:szCs w:val="20"/>
        </w:rPr>
        <w:t xml:space="preserve">Tribulus </w:t>
      </w:r>
      <w:r w:rsidRPr="00076670">
        <w:rPr>
          <w:rFonts w:ascii="Times New Roman" w:hAnsi="Times New Roman" w:cs="Times New Roman"/>
          <w:color w:val="000000"/>
          <w:sz w:val="20"/>
          <w:szCs w:val="20"/>
        </w:rPr>
        <w:t>genus is referred to by a number of</w:t>
      </w:r>
      <w:r w:rsidRPr="00076670">
        <w:rPr>
          <w:rFonts w:ascii="Times New Roman" w:hAnsi="Times New Roman" w:cs="Times New Roman"/>
          <w:color w:val="000000"/>
          <w:spacing w:val="40"/>
          <w:sz w:val="20"/>
          <w:szCs w:val="20"/>
        </w:rPr>
        <w:t xml:space="preserve"> </w:t>
      </w:r>
      <w:r w:rsidRPr="00076670">
        <w:rPr>
          <w:rFonts w:ascii="Times New Roman" w:hAnsi="Times New Roman" w:cs="Times New Roman"/>
          <w:color w:val="000000"/>
          <w:sz w:val="20"/>
          <w:szCs w:val="20"/>
        </w:rPr>
        <w:t>names, including "small caltrop," "Chota Gokhru," "puncture vine," "goat head," "devil's thorn," and "Gokhshura" in Sanskrit. The term "</w:t>
      </w:r>
      <w:r w:rsidRPr="00076670">
        <w:rPr>
          <w:rFonts w:ascii="Times New Roman" w:hAnsi="Times New Roman" w:cs="Times New Roman"/>
          <w:i/>
          <w:color w:val="000000"/>
          <w:sz w:val="20"/>
          <w:szCs w:val="20"/>
        </w:rPr>
        <w:t>tribulus</w:t>
      </w:r>
      <w:r w:rsidRPr="00076670">
        <w:rPr>
          <w:rFonts w:ascii="Times New Roman" w:hAnsi="Times New Roman" w:cs="Times New Roman"/>
          <w:color w:val="000000"/>
          <w:sz w:val="20"/>
          <w:szCs w:val="20"/>
        </w:rPr>
        <w:t>" refers to the three-pronged fruit of TT, and it originates from Latin and meaning "three-pointed caltrops." This medicinal plant</w:t>
      </w:r>
      <w:r w:rsidRPr="00076670">
        <w:rPr>
          <w:rFonts w:ascii="Times New Roman" w:hAnsi="Times New Roman" w:cs="Times New Roman"/>
          <w:color w:val="000000"/>
          <w:spacing w:val="40"/>
          <w:sz w:val="20"/>
          <w:szCs w:val="20"/>
        </w:rPr>
        <w:t xml:space="preserve"> </w:t>
      </w:r>
      <w:r w:rsidRPr="00076670">
        <w:rPr>
          <w:rFonts w:ascii="Times New Roman" w:hAnsi="Times New Roman" w:cs="Times New Roman"/>
          <w:color w:val="000000"/>
          <w:sz w:val="20"/>
          <w:szCs w:val="20"/>
        </w:rPr>
        <w:t xml:space="preserve">in particular is the herb that is commonly used in conventional medicine around the world to cure a variety of ailments. Of the approximately 20 species, India is home to three major species: </w:t>
      </w:r>
      <w:r w:rsidRPr="00076670">
        <w:rPr>
          <w:rFonts w:ascii="Times New Roman" w:hAnsi="Times New Roman" w:cs="Times New Roman"/>
          <w:i/>
          <w:color w:val="000000"/>
          <w:sz w:val="20"/>
          <w:szCs w:val="20"/>
        </w:rPr>
        <w:t>Tribulus cistoides</w:t>
      </w:r>
      <w:r w:rsidRPr="00076670">
        <w:rPr>
          <w:rFonts w:ascii="Times New Roman" w:hAnsi="Times New Roman" w:cs="Times New Roman"/>
          <w:color w:val="000000"/>
          <w:sz w:val="20"/>
          <w:szCs w:val="20"/>
        </w:rPr>
        <w:t xml:space="preserve">, </w:t>
      </w:r>
      <w:r w:rsidRPr="00076670">
        <w:rPr>
          <w:rFonts w:ascii="Times New Roman" w:hAnsi="Times New Roman" w:cs="Times New Roman"/>
          <w:i/>
          <w:color w:val="000000"/>
          <w:sz w:val="20"/>
          <w:szCs w:val="20"/>
        </w:rPr>
        <w:t>Tribulus terrestris</w:t>
      </w:r>
      <w:r w:rsidRPr="00076670">
        <w:rPr>
          <w:rFonts w:ascii="Times New Roman" w:hAnsi="Times New Roman" w:cs="Times New Roman"/>
          <w:color w:val="000000"/>
          <w:sz w:val="20"/>
          <w:szCs w:val="20"/>
        </w:rPr>
        <w:t xml:space="preserve">, and </w:t>
      </w:r>
      <w:r w:rsidRPr="00076670">
        <w:rPr>
          <w:rFonts w:ascii="Times New Roman" w:hAnsi="Times New Roman" w:cs="Times New Roman"/>
          <w:i/>
          <w:color w:val="000000"/>
          <w:sz w:val="20"/>
          <w:szCs w:val="20"/>
        </w:rPr>
        <w:t>Tribulus alatus</w:t>
      </w:r>
      <w:r w:rsidRPr="00076670">
        <w:rPr>
          <w:rFonts w:ascii="Times New Roman" w:hAnsi="Times New Roman" w:cs="Times New Roman"/>
          <w:color w:val="000000"/>
          <w:sz w:val="20"/>
          <w:szCs w:val="20"/>
        </w:rPr>
        <w:t>. It has an extended antiquity of usage in ancient medicine to increase hormone synthesis, and it thrives</w:t>
      </w:r>
      <w:r w:rsidRPr="00076670">
        <w:rPr>
          <w:rFonts w:ascii="Times New Roman" w:hAnsi="Times New Roman" w:cs="Times New Roman"/>
          <w:color w:val="000000"/>
          <w:spacing w:val="40"/>
          <w:sz w:val="20"/>
          <w:szCs w:val="20"/>
        </w:rPr>
        <w:t xml:space="preserve"> </w:t>
      </w:r>
      <w:r w:rsidRPr="00076670">
        <w:rPr>
          <w:rFonts w:ascii="Times New Roman" w:hAnsi="Times New Roman" w:cs="Times New Roman"/>
          <w:color w:val="000000"/>
          <w:sz w:val="20"/>
          <w:szCs w:val="20"/>
        </w:rPr>
        <w:t>in</w:t>
      </w:r>
      <w:r w:rsidRPr="00076670">
        <w:rPr>
          <w:rFonts w:ascii="Times New Roman" w:hAnsi="Times New Roman" w:cs="Times New Roman"/>
          <w:color w:val="000000"/>
          <w:spacing w:val="40"/>
          <w:sz w:val="20"/>
          <w:szCs w:val="20"/>
        </w:rPr>
        <w:t xml:space="preserve"> </w:t>
      </w:r>
      <w:r w:rsidRPr="00076670">
        <w:rPr>
          <w:rFonts w:ascii="Times New Roman" w:hAnsi="Times New Roman" w:cs="Times New Roman"/>
          <w:color w:val="000000"/>
          <w:sz w:val="20"/>
          <w:szCs w:val="20"/>
        </w:rPr>
        <w:t>tropical and subtropical climes</w:t>
      </w:r>
      <w:r w:rsidRPr="00076670">
        <w:rPr>
          <w:rFonts w:ascii="Times New Roman" w:hAnsi="Times New Roman" w:cs="Times New Roman"/>
          <w:color w:val="000000"/>
          <w:sz w:val="20"/>
          <w:szCs w:val="20"/>
        </w:rPr>
        <w:fldChar w:fldCharType="begin"/>
      </w:r>
      <w:r w:rsidRPr="00076670">
        <w:rPr>
          <w:rFonts w:ascii="Times New Roman" w:hAnsi="Times New Roman" w:cs="Times New Roman"/>
          <w:color w:val="000000"/>
          <w:sz w:val="20"/>
          <w:szCs w:val="20"/>
        </w:rPr>
        <w:instrText>ADDIN CSL_CITATION {"citationItems":[{"id":"ITEM-1","itemData":{"author":[{"dropping-particle":"","family":"Trease GE","given":"Evans WC.","non-dropping-particle":"","parse-names":false,"suffix":""}],"edition":"15th","id":"ITEM-1","issued":{"date-parts":[["2002"]]},"number-of-pages":"27","publisher":"Harcourt Brace and Singapore Company Asia Pvt. Ltd","title":"Trease and Evans Pharmacognosy.","type":"book"},"uris":["http://www.mendeley.com/documents/?uuid=0f8eb8f7-d72f-40a8-a64a-132f87c38c53"]}],"mendeley":{"formattedCitation":"(Trease GE 2002)","plainTextFormattedCitation":"(Trease GE 2002)","previouslyFormattedCitation":"(Trease GE 2002)"},"properties":{"noteIndex":0},"schema":"https://github.com/citation-style-language/schema/raw/master/csl-citation.json"}</w:instrText>
      </w:r>
      <w:r w:rsidRPr="00076670">
        <w:rPr>
          <w:rFonts w:ascii="Times New Roman" w:hAnsi="Times New Roman" w:cs="Times New Roman"/>
          <w:color w:val="000000"/>
          <w:sz w:val="20"/>
          <w:szCs w:val="20"/>
        </w:rPr>
        <w:fldChar w:fldCharType="separate"/>
      </w:r>
      <w:r w:rsidRPr="00076670">
        <w:rPr>
          <w:rFonts w:ascii="Times New Roman" w:hAnsi="Times New Roman" w:cs="Times New Roman"/>
          <w:noProof/>
          <w:color w:val="000000"/>
          <w:sz w:val="20"/>
          <w:szCs w:val="20"/>
        </w:rPr>
        <w:t>(Trease GE 2002)</w:t>
      </w:r>
      <w:r w:rsidRPr="00076670">
        <w:rPr>
          <w:rFonts w:ascii="Times New Roman" w:hAnsi="Times New Roman" w:cs="Times New Roman"/>
          <w:color w:val="000000"/>
          <w:sz w:val="20"/>
          <w:szCs w:val="20"/>
        </w:rPr>
        <w:fldChar w:fldCharType="end"/>
      </w:r>
      <w:r w:rsidRPr="00076670">
        <w:rPr>
          <w:rFonts w:ascii="Times New Roman" w:hAnsi="Times New Roman" w:cs="Times New Roman"/>
          <w:color w:val="000000"/>
          <w:sz w:val="20"/>
          <w:szCs w:val="20"/>
        </w:rPr>
        <w:t>.</w:t>
      </w:r>
    </w:p>
    <w:p w14:paraId="74F9BA36" w14:textId="77777777" w:rsidR="00076670" w:rsidRDefault="00076670" w:rsidP="00076670">
      <w:pPr>
        <w:tabs>
          <w:tab w:val="left" w:pos="2617"/>
        </w:tabs>
        <w:spacing w:after="0"/>
        <w:ind w:right="-29"/>
        <w:jc w:val="both"/>
        <w:rPr>
          <w:rFonts w:ascii="Times New Roman" w:hAnsi="Times New Roman" w:cs="Times New Roman"/>
          <w:color w:val="000000"/>
          <w:sz w:val="20"/>
          <w:szCs w:val="20"/>
        </w:rPr>
      </w:pPr>
    </w:p>
    <w:p w14:paraId="6F2BC263" w14:textId="77777777" w:rsidR="00076670" w:rsidRPr="00076670" w:rsidRDefault="00076670" w:rsidP="00076670">
      <w:pPr>
        <w:tabs>
          <w:tab w:val="left" w:pos="2617"/>
        </w:tabs>
        <w:spacing w:after="0"/>
        <w:ind w:right="-29"/>
        <w:jc w:val="both"/>
        <w:rPr>
          <w:rFonts w:ascii="Times New Roman" w:hAnsi="Times New Roman" w:cs="Times New Roman"/>
          <w:i/>
          <w:color w:val="000000"/>
          <w:sz w:val="20"/>
          <w:szCs w:val="20"/>
        </w:rPr>
      </w:pPr>
    </w:p>
    <w:p w14:paraId="10B3C902" w14:textId="77777777" w:rsidR="00D460AE" w:rsidRPr="00076670" w:rsidRDefault="00000000" w:rsidP="00076670">
      <w:pPr>
        <w:pStyle w:val="BodyText"/>
        <w:spacing w:line="276" w:lineRule="auto"/>
        <w:ind w:right="-29"/>
        <w:jc w:val="both"/>
        <w:rPr>
          <w:b/>
          <w:color w:val="000000"/>
          <w:sz w:val="20"/>
          <w:szCs w:val="20"/>
        </w:rPr>
      </w:pPr>
      <w:r w:rsidRPr="00076670">
        <w:rPr>
          <w:b/>
          <w:color w:val="000000"/>
          <w:spacing w:val="-2"/>
          <w:sz w:val="20"/>
          <w:szCs w:val="20"/>
        </w:rPr>
        <w:t>Taxonomical</w:t>
      </w:r>
      <w:r w:rsidRPr="00076670">
        <w:rPr>
          <w:b/>
          <w:color w:val="000000"/>
          <w:spacing w:val="-11"/>
          <w:sz w:val="20"/>
          <w:szCs w:val="20"/>
        </w:rPr>
        <w:t xml:space="preserve"> </w:t>
      </w:r>
      <w:r w:rsidRPr="00076670">
        <w:rPr>
          <w:b/>
          <w:color w:val="000000"/>
          <w:spacing w:val="-2"/>
          <w:sz w:val="20"/>
          <w:szCs w:val="20"/>
        </w:rPr>
        <w:t>Classification</w:t>
      </w:r>
      <w:r w:rsidRPr="00076670">
        <w:rPr>
          <w:b/>
          <w:color w:val="000000"/>
          <w:spacing w:val="-12"/>
          <w:sz w:val="20"/>
          <w:szCs w:val="20"/>
        </w:rPr>
        <w:t>:</w:t>
      </w:r>
      <w:r w:rsidRPr="00076670">
        <w:rPr>
          <w:b/>
          <w:color w:val="000000"/>
          <w:sz w:val="20"/>
          <w:szCs w:val="20"/>
        </w:rPr>
        <w:tab/>
      </w:r>
    </w:p>
    <w:tbl>
      <w:tblPr>
        <w:tblStyle w:val="TableGrid"/>
        <w:tblW w:w="0" w:type="auto"/>
        <w:jc w:val="center"/>
        <w:tblLook w:val="04A0" w:firstRow="1" w:lastRow="0" w:firstColumn="1" w:lastColumn="0" w:noHBand="0" w:noVBand="1"/>
      </w:tblPr>
      <w:tblGrid>
        <w:gridCol w:w="1514"/>
        <w:gridCol w:w="2017"/>
      </w:tblGrid>
      <w:tr w:rsidR="00D460AE" w:rsidRPr="00076670" w14:paraId="501C95C9" w14:textId="77777777" w:rsidTr="00076670">
        <w:trPr>
          <w:trHeight w:val="117"/>
          <w:jc w:val="center"/>
        </w:trPr>
        <w:tc>
          <w:tcPr>
            <w:tcW w:w="1514" w:type="dxa"/>
            <w:vAlign w:val="center"/>
          </w:tcPr>
          <w:p w14:paraId="5C33122A"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pacing w:val="-2"/>
                <w:sz w:val="20"/>
                <w:szCs w:val="20"/>
              </w:rPr>
              <w:t>Kingdom</w:t>
            </w:r>
          </w:p>
        </w:tc>
        <w:tc>
          <w:tcPr>
            <w:tcW w:w="2017" w:type="dxa"/>
            <w:vAlign w:val="center"/>
          </w:tcPr>
          <w:p w14:paraId="2E4CB731" w14:textId="77777777" w:rsidR="00D460AE" w:rsidRPr="00076670" w:rsidRDefault="00000000" w:rsidP="00076670">
            <w:pPr>
              <w:tabs>
                <w:tab w:val="left" w:pos="1179"/>
              </w:tabs>
              <w:spacing w:line="276" w:lineRule="auto"/>
              <w:ind w:right="-29"/>
              <w:jc w:val="center"/>
              <w:rPr>
                <w:rFonts w:ascii="Times New Roman" w:hAnsi="Times New Roman" w:cs="Times New Roman"/>
                <w:color w:val="000000"/>
                <w:sz w:val="20"/>
                <w:szCs w:val="20"/>
              </w:rPr>
            </w:pPr>
            <w:r w:rsidRPr="00076670">
              <w:rPr>
                <w:rFonts w:ascii="Times New Roman" w:hAnsi="Times New Roman" w:cs="Times New Roman"/>
                <w:color w:val="000000"/>
                <w:spacing w:val="-2"/>
                <w:sz w:val="20"/>
                <w:szCs w:val="20"/>
              </w:rPr>
              <w:t>Plantae</w:t>
            </w:r>
          </w:p>
        </w:tc>
      </w:tr>
      <w:tr w:rsidR="00D460AE" w:rsidRPr="00076670" w14:paraId="5ADD2CF5" w14:textId="77777777" w:rsidTr="00076670">
        <w:trPr>
          <w:trHeight w:val="267"/>
          <w:jc w:val="center"/>
        </w:trPr>
        <w:tc>
          <w:tcPr>
            <w:tcW w:w="1514" w:type="dxa"/>
            <w:vAlign w:val="center"/>
          </w:tcPr>
          <w:p w14:paraId="73AB28B1"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pacing w:val="-2"/>
                <w:sz w:val="20"/>
                <w:szCs w:val="20"/>
              </w:rPr>
              <w:t>Division</w:t>
            </w:r>
          </w:p>
        </w:tc>
        <w:tc>
          <w:tcPr>
            <w:tcW w:w="2017" w:type="dxa"/>
            <w:vAlign w:val="center"/>
          </w:tcPr>
          <w:p w14:paraId="084504FE"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pacing w:val="-2"/>
                <w:sz w:val="20"/>
                <w:szCs w:val="20"/>
              </w:rPr>
              <w:t>Phanerogams</w:t>
            </w:r>
          </w:p>
        </w:tc>
      </w:tr>
      <w:tr w:rsidR="00D460AE" w:rsidRPr="00076670" w14:paraId="0860353B" w14:textId="77777777" w:rsidTr="00076670">
        <w:trPr>
          <w:trHeight w:val="254"/>
          <w:jc w:val="center"/>
        </w:trPr>
        <w:tc>
          <w:tcPr>
            <w:tcW w:w="1514" w:type="dxa"/>
            <w:vAlign w:val="center"/>
          </w:tcPr>
          <w:p w14:paraId="7212A50B"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z w:val="20"/>
                <w:szCs w:val="20"/>
              </w:rPr>
              <w:t>Subdivision</w:t>
            </w:r>
          </w:p>
        </w:tc>
        <w:tc>
          <w:tcPr>
            <w:tcW w:w="2017" w:type="dxa"/>
            <w:vAlign w:val="center"/>
          </w:tcPr>
          <w:p w14:paraId="5052825E"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pacing w:val="-2"/>
                <w:sz w:val="20"/>
                <w:szCs w:val="20"/>
              </w:rPr>
              <w:t>Angiosperm</w:t>
            </w:r>
          </w:p>
        </w:tc>
      </w:tr>
      <w:tr w:rsidR="00D460AE" w:rsidRPr="00076670" w14:paraId="0719B409" w14:textId="77777777" w:rsidTr="00076670">
        <w:trPr>
          <w:trHeight w:val="294"/>
          <w:jc w:val="center"/>
        </w:trPr>
        <w:tc>
          <w:tcPr>
            <w:tcW w:w="1514" w:type="dxa"/>
            <w:vAlign w:val="center"/>
          </w:tcPr>
          <w:p w14:paraId="6DE6CD2E"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pacing w:val="-2"/>
                <w:sz w:val="20"/>
                <w:szCs w:val="20"/>
              </w:rPr>
              <w:t>Class</w:t>
            </w:r>
          </w:p>
        </w:tc>
        <w:tc>
          <w:tcPr>
            <w:tcW w:w="2017" w:type="dxa"/>
            <w:vAlign w:val="center"/>
          </w:tcPr>
          <w:p w14:paraId="4A5A591E"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pacing w:val="-2"/>
                <w:sz w:val="20"/>
                <w:szCs w:val="20"/>
              </w:rPr>
              <w:t>Dicotyledonae</w:t>
            </w:r>
          </w:p>
        </w:tc>
      </w:tr>
      <w:tr w:rsidR="00D460AE" w:rsidRPr="00076670" w14:paraId="2D3A9954" w14:textId="77777777" w:rsidTr="00076670">
        <w:trPr>
          <w:trHeight w:val="339"/>
          <w:jc w:val="center"/>
        </w:trPr>
        <w:tc>
          <w:tcPr>
            <w:tcW w:w="1514" w:type="dxa"/>
            <w:vAlign w:val="center"/>
          </w:tcPr>
          <w:p w14:paraId="001C7279"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pacing w:val="-2"/>
                <w:sz w:val="20"/>
                <w:szCs w:val="20"/>
              </w:rPr>
              <w:t>Subclass</w:t>
            </w:r>
          </w:p>
        </w:tc>
        <w:tc>
          <w:tcPr>
            <w:tcW w:w="2017" w:type="dxa"/>
            <w:vAlign w:val="center"/>
          </w:tcPr>
          <w:p w14:paraId="5E603E15" w14:textId="77777777" w:rsidR="00D460AE" w:rsidRPr="00076670" w:rsidRDefault="00000000" w:rsidP="00076670">
            <w:pPr>
              <w:tabs>
                <w:tab w:val="left" w:pos="1179"/>
              </w:tabs>
              <w:spacing w:line="276" w:lineRule="auto"/>
              <w:ind w:right="-29"/>
              <w:jc w:val="center"/>
              <w:rPr>
                <w:rFonts w:ascii="Times New Roman" w:hAnsi="Times New Roman" w:cs="Times New Roman"/>
                <w:color w:val="000000"/>
                <w:sz w:val="20"/>
                <w:szCs w:val="20"/>
              </w:rPr>
            </w:pPr>
            <w:r w:rsidRPr="00076670">
              <w:rPr>
                <w:rFonts w:ascii="Times New Roman" w:hAnsi="Times New Roman" w:cs="Times New Roman"/>
                <w:color w:val="000000"/>
                <w:spacing w:val="-2"/>
                <w:sz w:val="20"/>
                <w:szCs w:val="20"/>
              </w:rPr>
              <w:t>Polypetalae</w:t>
            </w:r>
          </w:p>
        </w:tc>
      </w:tr>
      <w:tr w:rsidR="00D460AE" w:rsidRPr="00076670" w14:paraId="314E07AF" w14:textId="77777777" w:rsidTr="00076670">
        <w:trPr>
          <w:trHeight w:val="305"/>
          <w:jc w:val="center"/>
        </w:trPr>
        <w:tc>
          <w:tcPr>
            <w:tcW w:w="1514" w:type="dxa"/>
            <w:vAlign w:val="center"/>
          </w:tcPr>
          <w:p w14:paraId="3C18EA62"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pacing w:val="-2"/>
                <w:sz w:val="20"/>
                <w:szCs w:val="20"/>
              </w:rPr>
              <w:t>Series</w:t>
            </w:r>
          </w:p>
        </w:tc>
        <w:tc>
          <w:tcPr>
            <w:tcW w:w="2017" w:type="dxa"/>
            <w:vAlign w:val="center"/>
          </w:tcPr>
          <w:p w14:paraId="22E4744A" w14:textId="77777777" w:rsidR="00D460AE" w:rsidRPr="00076670" w:rsidRDefault="00000000" w:rsidP="00076670">
            <w:pPr>
              <w:pStyle w:val="ListParagraph"/>
              <w:tabs>
                <w:tab w:val="left" w:pos="1243"/>
              </w:tabs>
              <w:spacing w:line="276" w:lineRule="auto"/>
              <w:ind w:left="0" w:right="-29" w:firstLine="0"/>
              <w:jc w:val="center"/>
              <w:rPr>
                <w:color w:val="000000"/>
                <w:sz w:val="20"/>
                <w:szCs w:val="20"/>
              </w:rPr>
            </w:pPr>
            <w:r w:rsidRPr="00076670">
              <w:rPr>
                <w:color w:val="000000"/>
                <w:spacing w:val="-2"/>
                <w:sz w:val="20"/>
                <w:szCs w:val="20"/>
              </w:rPr>
              <w:t>Disciflorae</w:t>
            </w:r>
          </w:p>
        </w:tc>
      </w:tr>
      <w:tr w:rsidR="00D460AE" w:rsidRPr="00076670" w14:paraId="4F80A7EE" w14:textId="77777777" w:rsidTr="00076670">
        <w:trPr>
          <w:trHeight w:val="317"/>
          <w:jc w:val="center"/>
        </w:trPr>
        <w:tc>
          <w:tcPr>
            <w:tcW w:w="1514" w:type="dxa"/>
            <w:vAlign w:val="center"/>
          </w:tcPr>
          <w:p w14:paraId="1989A562"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z w:val="20"/>
                <w:szCs w:val="20"/>
              </w:rPr>
              <w:t>Order</w:t>
            </w:r>
          </w:p>
        </w:tc>
        <w:tc>
          <w:tcPr>
            <w:tcW w:w="2017" w:type="dxa"/>
            <w:vAlign w:val="center"/>
          </w:tcPr>
          <w:p w14:paraId="509A6E27"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pacing w:val="-2"/>
                <w:sz w:val="20"/>
                <w:szCs w:val="20"/>
              </w:rPr>
              <w:t>Giraniales</w:t>
            </w:r>
          </w:p>
        </w:tc>
      </w:tr>
      <w:tr w:rsidR="00D460AE" w:rsidRPr="00076670" w14:paraId="754BC36F" w14:textId="77777777" w:rsidTr="00076670">
        <w:trPr>
          <w:trHeight w:val="366"/>
          <w:jc w:val="center"/>
        </w:trPr>
        <w:tc>
          <w:tcPr>
            <w:tcW w:w="1514" w:type="dxa"/>
            <w:vAlign w:val="center"/>
          </w:tcPr>
          <w:p w14:paraId="15B74688"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z w:val="20"/>
                <w:szCs w:val="20"/>
              </w:rPr>
              <w:t>Family</w:t>
            </w:r>
          </w:p>
        </w:tc>
        <w:tc>
          <w:tcPr>
            <w:tcW w:w="2017" w:type="dxa"/>
            <w:vAlign w:val="center"/>
          </w:tcPr>
          <w:p w14:paraId="3319868E" w14:textId="77777777" w:rsidR="00D460AE" w:rsidRPr="00076670" w:rsidRDefault="00000000" w:rsidP="00076670">
            <w:pPr>
              <w:pStyle w:val="ListParagraph"/>
              <w:tabs>
                <w:tab w:val="left" w:pos="1243"/>
              </w:tabs>
              <w:spacing w:line="276" w:lineRule="auto"/>
              <w:ind w:left="0" w:right="-29" w:firstLine="0"/>
              <w:jc w:val="center"/>
              <w:rPr>
                <w:color w:val="000000"/>
                <w:sz w:val="20"/>
                <w:szCs w:val="20"/>
              </w:rPr>
            </w:pPr>
            <w:r w:rsidRPr="00076670">
              <w:rPr>
                <w:color w:val="000000"/>
                <w:spacing w:val="-2"/>
                <w:sz w:val="20"/>
                <w:szCs w:val="20"/>
              </w:rPr>
              <w:t>Zygophyllaceae</w:t>
            </w:r>
          </w:p>
        </w:tc>
      </w:tr>
      <w:tr w:rsidR="00D460AE" w:rsidRPr="00076670" w14:paraId="5DE0101A" w14:textId="77777777" w:rsidTr="00076670">
        <w:trPr>
          <w:trHeight w:val="305"/>
          <w:jc w:val="center"/>
        </w:trPr>
        <w:tc>
          <w:tcPr>
            <w:tcW w:w="1514" w:type="dxa"/>
            <w:vAlign w:val="center"/>
          </w:tcPr>
          <w:p w14:paraId="76956EF5"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z w:val="20"/>
                <w:szCs w:val="20"/>
              </w:rPr>
              <w:t>Genus</w:t>
            </w:r>
          </w:p>
        </w:tc>
        <w:tc>
          <w:tcPr>
            <w:tcW w:w="2017" w:type="dxa"/>
            <w:vAlign w:val="center"/>
          </w:tcPr>
          <w:p w14:paraId="5DCEB419"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i/>
                <w:color w:val="000000"/>
                <w:spacing w:val="-2"/>
                <w:sz w:val="20"/>
                <w:szCs w:val="20"/>
              </w:rPr>
              <w:t>Tribulus</w:t>
            </w:r>
          </w:p>
        </w:tc>
      </w:tr>
      <w:tr w:rsidR="00D460AE" w:rsidRPr="00076670" w14:paraId="7BF9C030" w14:textId="77777777" w:rsidTr="00076670">
        <w:trPr>
          <w:trHeight w:val="305"/>
          <w:jc w:val="center"/>
        </w:trPr>
        <w:tc>
          <w:tcPr>
            <w:tcW w:w="1514" w:type="dxa"/>
            <w:vAlign w:val="center"/>
          </w:tcPr>
          <w:p w14:paraId="77D69A4C"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z w:val="20"/>
                <w:szCs w:val="20"/>
              </w:rPr>
              <w:t>Species</w:t>
            </w:r>
          </w:p>
        </w:tc>
        <w:tc>
          <w:tcPr>
            <w:tcW w:w="2017" w:type="dxa"/>
            <w:vAlign w:val="center"/>
          </w:tcPr>
          <w:p w14:paraId="7EEA422D"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i/>
                <w:color w:val="000000"/>
                <w:sz w:val="20"/>
                <w:szCs w:val="20"/>
              </w:rPr>
              <w:t>terrestris</w:t>
            </w:r>
            <w:r w:rsidRPr="00076670">
              <w:rPr>
                <w:i/>
                <w:color w:val="000000"/>
                <w:spacing w:val="-13"/>
                <w:sz w:val="20"/>
                <w:szCs w:val="20"/>
              </w:rPr>
              <w:t xml:space="preserve"> </w:t>
            </w:r>
            <w:r w:rsidRPr="00076670">
              <w:rPr>
                <w:color w:val="000000"/>
                <w:spacing w:val="-4"/>
                <w:sz w:val="20"/>
                <w:szCs w:val="20"/>
              </w:rPr>
              <w:t>Linn</w:t>
            </w:r>
          </w:p>
        </w:tc>
      </w:tr>
    </w:tbl>
    <w:p w14:paraId="374EFDC7" w14:textId="77777777" w:rsidR="00D460AE" w:rsidRPr="00076670" w:rsidRDefault="00000000" w:rsidP="00076670">
      <w:pPr>
        <w:pStyle w:val="ListParagraph"/>
        <w:tabs>
          <w:tab w:val="left" w:pos="1179"/>
        </w:tabs>
        <w:spacing w:line="276" w:lineRule="auto"/>
        <w:ind w:left="0" w:right="-29" w:firstLine="0"/>
        <w:jc w:val="center"/>
        <w:rPr>
          <w:color w:val="000000"/>
          <w:sz w:val="20"/>
          <w:szCs w:val="20"/>
        </w:rPr>
      </w:pPr>
      <w:r w:rsidRPr="00076670">
        <w:rPr>
          <w:color w:val="000000"/>
          <w:sz w:val="20"/>
          <w:szCs w:val="20"/>
        </w:rPr>
        <w:fldChar w:fldCharType="begin"/>
      </w:r>
      <w:r w:rsidRPr="00076670">
        <w:rPr>
          <w:color w:val="000000"/>
          <w:sz w:val="20"/>
          <w:szCs w:val="20"/>
        </w:rPr>
        <w:instrText>ADDIN CSL_CITATION {"citationItems":[{"id":"ITEM-1","itemData":{"DOI":"10.4103/0973-7847.125530","ISSN":"09737847","PMID":"24600195","abstract":"Tribulus terrestris (family Zygophyllaceae), commonly known as Gokshur or Gokharu or puncture vine, has been used for a long time in both the Indian and Chinese systems of medicine for treatment of various kinds of diseases. Its various parts contain a variety of chemical constituents which are medicinally important, such as flavonoids, flavonol glycosides, steroidal saponins, and alkaloids. It has diuretic, aphrodisiac, antiurolithic, immunomodulatory, antidiabetic, absorption enhancing, hypolipidemic, cardiotonic, central nervous system, hepatoprotective, anti-inflammatory, analgesic, antispasmodic, anticancer, antibacterial, anthelmintic, larvicidal, and anticariogenic activities. For the last few decades or so, extensive research work has been done to prove its biological activities and the pharmacology of its extracts. The aim of this review is to create a database for further investigations of the discovered phytochemical and pharmacological properties of this plant to promote research. This will help in confirmation of its traditional use along with its value-added utility, eventually leading to higher revenues from the plant.","author":[{"dropping-particle":"","family":"Chhatre","given":"Saurabh","non-dropping-particle":"","parse-names":false,"suffix":""},{"dropping-particle":"","family":"Nesari","given":"Tanuja","non-dropping-particle":"","parse-names":false,"suffix":""},{"dropping-particle":"","family":"Somani","given":"Gauresh","non-dropping-particle":"","parse-names":false,"suffix":""},{"dropping-particle":"","family":"Kanchan","given":"Divya","non-dropping-particle":"","parse-names":false,"suffix":""},{"dropping-particle":"","family":"Sathaye","given":"Sadhana","non-dropping-particle":"","parse-names":false,"suffix":""}],"container-title":"Pharmacognosy Reviews","id":"ITEM-1","issue":"15","issued":{"date-parts":[["2014"]]},"page":"45-51","title":"Phytopharmacological overview of Tribulus terrestris","type":"article-journal","volume":"8"},"uris":["http://www.mendeley.com/documents/?uuid=4ed1b04c-6ebb-49e2-a7f3-27870678d79b"]}],"mendeley":{"formattedCitation":"(Chhatre et al. 2014)","plainTextFormattedCitation":"(Chhatre et al. 2014)","previouslyFormattedCitation":"(Chhatre et al. 2014)"},"properties":{"noteIndex":0},"schema":"https://github.com/citation-style-language/schema/raw/master/csl-citation.json"}</w:instrText>
      </w:r>
      <w:r w:rsidRPr="00076670">
        <w:rPr>
          <w:color w:val="000000"/>
          <w:sz w:val="20"/>
          <w:szCs w:val="20"/>
        </w:rPr>
        <w:fldChar w:fldCharType="separate"/>
      </w:r>
      <w:r w:rsidRPr="00076670">
        <w:rPr>
          <w:noProof/>
          <w:color w:val="000000"/>
          <w:sz w:val="20"/>
          <w:szCs w:val="20"/>
        </w:rPr>
        <w:t>(Chhatre et al. 2014)</w:t>
      </w:r>
      <w:r w:rsidRPr="00076670">
        <w:rPr>
          <w:color w:val="000000"/>
          <w:sz w:val="20"/>
          <w:szCs w:val="20"/>
        </w:rPr>
        <w:fldChar w:fldCharType="end"/>
      </w:r>
    </w:p>
    <w:p w14:paraId="68253A6C" w14:textId="77777777" w:rsidR="00076670" w:rsidRDefault="00076670" w:rsidP="00076670">
      <w:pPr>
        <w:pStyle w:val="ListParagraph"/>
        <w:tabs>
          <w:tab w:val="left" w:pos="1179"/>
        </w:tabs>
        <w:spacing w:line="276" w:lineRule="auto"/>
        <w:ind w:left="0" w:right="-29" w:firstLine="0"/>
        <w:jc w:val="both"/>
        <w:rPr>
          <w:b/>
          <w:color w:val="000000"/>
          <w:spacing w:val="-2"/>
          <w:sz w:val="20"/>
          <w:szCs w:val="20"/>
        </w:rPr>
      </w:pPr>
    </w:p>
    <w:p w14:paraId="6C6A9D5F" w14:textId="7CCD3989" w:rsidR="00D460AE" w:rsidRPr="00076670" w:rsidRDefault="00000000" w:rsidP="00076670">
      <w:pPr>
        <w:pStyle w:val="ListParagraph"/>
        <w:tabs>
          <w:tab w:val="left" w:pos="1179"/>
        </w:tabs>
        <w:spacing w:line="276" w:lineRule="auto"/>
        <w:ind w:left="0" w:right="-29" w:firstLine="0"/>
        <w:jc w:val="both"/>
        <w:rPr>
          <w:b/>
          <w:color w:val="000000"/>
          <w:sz w:val="20"/>
          <w:szCs w:val="20"/>
        </w:rPr>
      </w:pPr>
      <w:r w:rsidRPr="00076670">
        <w:rPr>
          <w:b/>
          <w:color w:val="000000"/>
          <w:spacing w:val="-2"/>
          <w:sz w:val="20"/>
          <w:szCs w:val="20"/>
        </w:rPr>
        <w:t>Traditional Pharmacological</w:t>
      </w:r>
      <w:r w:rsidRPr="00076670">
        <w:rPr>
          <w:b/>
          <w:color w:val="000000"/>
          <w:spacing w:val="5"/>
          <w:sz w:val="20"/>
          <w:szCs w:val="20"/>
        </w:rPr>
        <w:t xml:space="preserve"> </w:t>
      </w:r>
      <w:r w:rsidRPr="00076670">
        <w:rPr>
          <w:b/>
          <w:color w:val="000000"/>
          <w:spacing w:val="-4"/>
          <w:sz w:val="20"/>
          <w:szCs w:val="20"/>
        </w:rPr>
        <w:t>Uses:</w:t>
      </w:r>
    </w:p>
    <w:p w14:paraId="51243CCC" w14:textId="77777777" w:rsidR="00D460AE" w:rsidRDefault="00000000" w:rsidP="00076670">
      <w:pPr>
        <w:pStyle w:val="Heading4"/>
        <w:tabs>
          <w:tab w:val="left" w:pos="1006"/>
        </w:tabs>
        <w:spacing w:line="276" w:lineRule="auto"/>
        <w:ind w:left="0" w:right="-29"/>
        <w:jc w:val="both"/>
        <w:rPr>
          <w:b w:val="0"/>
          <w:color w:val="000000"/>
          <w:sz w:val="20"/>
          <w:szCs w:val="20"/>
        </w:rPr>
      </w:pPr>
      <w:r w:rsidRPr="00076670">
        <w:rPr>
          <w:b w:val="0"/>
          <w:color w:val="000000"/>
          <w:sz w:val="20"/>
          <w:szCs w:val="20"/>
        </w:rPr>
        <w:t>As an astringent, stomachic, tonic, palliative, urinary disinfectant, aphrodisiac, antihypertensive, lithotriptic, and diuretic, TT is utilized in conventional medicine. Most genitourinary</w:t>
      </w:r>
      <w:r w:rsidRPr="00076670">
        <w:rPr>
          <w:b w:val="0"/>
          <w:color w:val="000000"/>
          <w:spacing w:val="-18"/>
          <w:sz w:val="20"/>
          <w:szCs w:val="20"/>
        </w:rPr>
        <w:t xml:space="preserve"> </w:t>
      </w:r>
      <w:r w:rsidRPr="00076670">
        <w:rPr>
          <w:b w:val="0"/>
          <w:color w:val="000000"/>
          <w:sz w:val="20"/>
          <w:szCs w:val="20"/>
        </w:rPr>
        <w:t>tract disorders</w:t>
      </w:r>
      <w:r w:rsidRPr="00076670">
        <w:rPr>
          <w:b w:val="0"/>
          <w:color w:val="000000"/>
          <w:spacing w:val="-1"/>
          <w:sz w:val="20"/>
          <w:szCs w:val="20"/>
        </w:rPr>
        <w:t xml:space="preserve"> </w:t>
      </w:r>
      <w:r w:rsidRPr="00076670">
        <w:rPr>
          <w:b w:val="0"/>
          <w:color w:val="000000"/>
          <w:sz w:val="20"/>
          <w:szCs w:val="20"/>
        </w:rPr>
        <w:t>respond effectively</w:t>
      </w:r>
      <w:r w:rsidRPr="00076670">
        <w:rPr>
          <w:b w:val="0"/>
          <w:color w:val="000000"/>
          <w:spacing w:val="-3"/>
          <w:sz w:val="20"/>
          <w:szCs w:val="20"/>
        </w:rPr>
        <w:t xml:space="preserve"> </w:t>
      </w:r>
      <w:r w:rsidRPr="00076670">
        <w:rPr>
          <w:b w:val="0"/>
          <w:color w:val="000000"/>
          <w:sz w:val="20"/>
          <w:szCs w:val="20"/>
        </w:rPr>
        <w:t>to</w:t>
      </w:r>
      <w:r w:rsidRPr="00076670">
        <w:rPr>
          <w:b w:val="0"/>
          <w:color w:val="000000"/>
          <w:spacing w:val="-1"/>
          <w:sz w:val="20"/>
          <w:szCs w:val="20"/>
        </w:rPr>
        <w:t xml:space="preserve"> </w:t>
      </w:r>
      <w:r w:rsidRPr="00076670">
        <w:rPr>
          <w:b w:val="0"/>
          <w:color w:val="000000"/>
          <w:sz w:val="20"/>
          <w:szCs w:val="20"/>
        </w:rPr>
        <w:t>the herb's dried fruit. It is an essential element</w:t>
      </w:r>
      <w:r w:rsidRPr="00076670">
        <w:rPr>
          <w:b w:val="0"/>
          <w:color w:val="000000"/>
          <w:spacing w:val="32"/>
          <w:sz w:val="20"/>
          <w:szCs w:val="20"/>
        </w:rPr>
        <w:t xml:space="preserve"> </w:t>
      </w:r>
      <w:r w:rsidRPr="00076670">
        <w:rPr>
          <w:b w:val="0"/>
          <w:color w:val="000000"/>
          <w:sz w:val="20"/>
          <w:szCs w:val="20"/>
        </w:rPr>
        <w:t>of Gokshuradi</w:t>
      </w:r>
      <w:r w:rsidRPr="00076670">
        <w:rPr>
          <w:b w:val="0"/>
          <w:color w:val="000000"/>
          <w:spacing w:val="-5"/>
          <w:sz w:val="20"/>
          <w:szCs w:val="20"/>
        </w:rPr>
        <w:t xml:space="preserve"> </w:t>
      </w:r>
      <w:r w:rsidRPr="00076670">
        <w:rPr>
          <w:b w:val="0"/>
          <w:color w:val="000000"/>
          <w:sz w:val="20"/>
          <w:szCs w:val="20"/>
        </w:rPr>
        <w:t>Guggul, a powerful Ayurvedic remedy</w:t>
      </w:r>
      <w:r w:rsidRPr="00076670">
        <w:rPr>
          <w:b w:val="0"/>
          <w:color w:val="000000"/>
          <w:spacing w:val="-2"/>
          <w:sz w:val="20"/>
          <w:szCs w:val="20"/>
        </w:rPr>
        <w:t xml:space="preserve"> </w:t>
      </w:r>
      <w:r w:rsidRPr="00076670">
        <w:rPr>
          <w:b w:val="0"/>
          <w:color w:val="000000"/>
          <w:sz w:val="20"/>
          <w:szCs w:val="20"/>
        </w:rPr>
        <w:t>that gets rid of urinary</w:t>
      </w:r>
      <w:r w:rsidRPr="00076670">
        <w:rPr>
          <w:b w:val="0"/>
          <w:color w:val="000000"/>
          <w:spacing w:val="-1"/>
          <w:sz w:val="20"/>
          <w:szCs w:val="20"/>
        </w:rPr>
        <w:t xml:space="preserve"> </w:t>
      </w:r>
      <w:r w:rsidRPr="00076670">
        <w:rPr>
          <w:b w:val="0"/>
          <w:color w:val="000000"/>
          <w:sz w:val="20"/>
          <w:szCs w:val="20"/>
        </w:rPr>
        <w:t>stones and helps the genitourinary system work normally. In Ayurveda, TT has been used for millennia to cure sexual debility, impotence, and venereal disorders. The herb is also been used as a prevalent medication for impotence in Bulgaria. Apart from all this uses, the Indian Ayurvedic Pharmacopoeia describes the fruit and root as having cardio tonic qualities.</w:t>
      </w:r>
      <w:r w:rsidRPr="00076670">
        <w:rPr>
          <w:b w:val="0"/>
          <w:color w:val="000000"/>
          <w:spacing w:val="40"/>
          <w:sz w:val="20"/>
          <w:szCs w:val="20"/>
        </w:rPr>
        <w:t xml:space="preserve"> </w:t>
      </w:r>
      <w:r w:rsidRPr="00076670">
        <w:rPr>
          <w:b w:val="0"/>
          <w:color w:val="000000"/>
          <w:sz w:val="20"/>
          <w:szCs w:val="20"/>
        </w:rPr>
        <w:t>The fruits were used in</w:t>
      </w:r>
      <w:r w:rsidRPr="00076670">
        <w:rPr>
          <w:b w:val="0"/>
          <w:color w:val="000000"/>
          <w:spacing w:val="-2"/>
          <w:sz w:val="20"/>
          <w:szCs w:val="20"/>
        </w:rPr>
        <w:t xml:space="preserve"> </w:t>
      </w:r>
      <w:r w:rsidRPr="00076670">
        <w:rPr>
          <w:b w:val="0"/>
          <w:color w:val="000000"/>
          <w:sz w:val="20"/>
          <w:szCs w:val="20"/>
        </w:rPr>
        <w:t>traditional</w:t>
      </w:r>
      <w:r w:rsidRPr="00076670">
        <w:rPr>
          <w:b w:val="0"/>
          <w:color w:val="000000"/>
          <w:spacing w:val="-1"/>
          <w:sz w:val="20"/>
          <w:szCs w:val="20"/>
        </w:rPr>
        <w:t xml:space="preserve"> </w:t>
      </w:r>
      <w:r w:rsidRPr="00076670">
        <w:rPr>
          <w:b w:val="0"/>
          <w:color w:val="000000"/>
          <w:sz w:val="20"/>
          <w:szCs w:val="20"/>
        </w:rPr>
        <w:t>Chinese medicine to cure edema, stomach problems, and eye problems. The fruits were used to treat edema, eye problems, stomach distension, sexual dysfunction, morbid leucorrhea and emission in traditional Chinese medicine. TT is regarded as a very helpful medication in the first known pharmaceutical work in China which is The Shern-Nong Pharmacopoeia</w:t>
      </w:r>
      <w:r w:rsidRPr="00076670">
        <w:rPr>
          <w:b w:val="0"/>
          <w:color w:val="000000"/>
          <w:spacing w:val="-4"/>
          <w:sz w:val="20"/>
          <w:szCs w:val="20"/>
        </w:rPr>
        <w:t xml:space="preserve"> </w:t>
      </w:r>
      <w:r w:rsidRPr="00076670">
        <w:rPr>
          <w:b w:val="0"/>
          <w:color w:val="000000"/>
          <w:sz w:val="20"/>
          <w:szCs w:val="20"/>
        </w:rPr>
        <w:t>and is</w:t>
      </w:r>
      <w:r w:rsidRPr="00076670">
        <w:rPr>
          <w:b w:val="0"/>
          <w:color w:val="000000"/>
          <w:spacing w:val="-6"/>
          <w:sz w:val="20"/>
          <w:szCs w:val="20"/>
        </w:rPr>
        <w:t xml:space="preserve"> </w:t>
      </w:r>
      <w:r w:rsidRPr="00076670">
        <w:rPr>
          <w:b w:val="0"/>
          <w:color w:val="000000"/>
          <w:sz w:val="20"/>
          <w:szCs w:val="20"/>
        </w:rPr>
        <w:t>used</w:t>
      </w:r>
      <w:r w:rsidRPr="00076670">
        <w:rPr>
          <w:b w:val="0"/>
          <w:color w:val="000000"/>
          <w:spacing w:val="-5"/>
          <w:sz w:val="20"/>
          <w:szCs w:val="20"/>
        </w:rPr>
        <w:t xml:space="preserve"> </w:t>
      </w:r>
      <w:r w:rsidRPr="00076670">
        <w:rPr>
          <w:b w:val="0"/>
          <w:color w:val="000000"/>
          <w:sz w:val="20"/>
          <w:szCs w:val="20"/>
        </w:rPr>
        <w:t>to cure</w:t>
      </w:r>
      <w:r w:rsidRPr="00076670">
        <w:rPr>
          <w:b w:val="0"/>
          <w:color w:val="000000"/>
          <w:spacing w:val="-9"/>
          <w:sz w:val="20"/>
          <w:szCs w:val="20"/>
        </w:rPr>
        <w:t xml:space="preserve"> </w:t>
      </w:r>
      <w:r w:rsidRPr="00076670">
        <w:rPr>
          <w:b w:val="0"/>
          <w:color w:val="000000"/>
          <w:sz w:val="20"/>
          <w:szCs w:val="20"/>
        </w:rPr>
        <w:t>vitiligo, mastitis, flatulence, headaches, acute</w:t>
      </w:r>
      <w:r w:rsidRPr="00076670">
        <w:rPr>
          <w:b w:val="0"/>
          <w:color w:val="000000"/>
          <w:spacing w:val="-6"/>
          <w:sz w:val="20"/>
          <w:szCs w:val="20"/>
        </w:rPr>
        <w:t xml:space="preserve"> </w:t>
      </w:r>
      <w:r w:rsidRPr="00076670">
        <w:rPr>
          <w:b w:val="0"/>
          <w:color w:val="000000"/>
          <w:sz w:val="20"/>
          <w:szCs w:val="20"/>
        </w:rPr>
        <w:t xml:space="preserve">conjunctivitis, and chest fullness. It also helps restore the depressed liver. </w:t>
      </w:r>
      <w:r w:rsidRPr="00076670">
        <w:rPr>
          <w:b w:val="0"/>
          <w:i/>
          <w:color w:val="000000"/>
          <w:sz w:val="20"/>
          <w:szCs w:val="20"/>
        </w:rPr>
        <w:t xml:space="preserve">T terrestris </w:t>
      </w:r>
      <w:r w:rsidRPr="00076670">
        <w:rPr>
          <w:b w:val="0"/>
          <w:color w:val="000000"/>
          <w:sz w:val="20"/>
          <w:szCs w:val="20"/>
        </w:rPr>
        <w:t>is used as a general tonic, mild laxative and a diuretic in Unani medicine</w:t>
      </w:r>
      <w:r w:rsidRPr="00076670">
        <w:rPr>
          <w:b w:val="0"/>
          <w:color w:val="000000"/>
          <w:sz w:val="20"/>
          <w:szCs w:val="20"/>
        </w:rPr>
        <w:fldChar w:fldCharType="begin"/>
      </w:r>
      <w:r w:rsidRPr="00076670">
        <w:rPr>
          <w:b w:val="0"/>
          <w:color w:val="000000"/>
          <w:sz w:val="20"/>
          <w:szCs w:val="20"/>
        </w:rPr>
        <w:instrText>ADDIN CSL_CITATION {"citationItems":[{"id":"ITEM-1","itemData":{"author":[{"dropping-particle":"","family":"CP","given":"Khare","non-dropping-particle":"","parse-names":false,"suffix":""}],"id":"ITEM-1","issued":{"date-parts":[["2007"]]},"number-of-pages":"669-71","publisher":"Springer Verlag","publisher-place":"Berlin, Heidelberg","title":"Indian medicinal plants: An illustrated dictionary.","type":"book"},"uris":["http://www.mendeley.com/documents/?uuid=30b5b658-ab6c-4ff7-830d-3cc701c63a6f"]}],"mendeley":{"formattedCitation":"(CP 2007)","plainTextFormattedCitation":"(CP 2007)","previouslyFormattedCitation":"(CP 2007)"},"properties":{"noteIndex":0},"schema":"https://github.com/citation-style-language/schema/raw/master/csl-citation.json"}</w:instrText>
      </w:r>
      <w:r w:rsidRPr="00076670">
        <w:rPr>
          <w:b w:val="0"/>
          <w:color w:val="000000"/>
          <w:sz w:val="20"/>
          <w:szCs w:val="20"/>
        </w:rPr>
        <w:fldChar w:fldCharType="separate"/>
      </w:r>
      <w:r w:rsidRPr="00076670">
        <w:rPr>
          <w:b w:val="0"/>
          <w:noProof/>
          <w:color w:val="000000"/>
          <w:sz w:val="20"/>
          <w:szCs w:val="20"/>
        </w:rPr>
        <w:t>(CP 2007)</w:t>
      </w:r>
      <w:r w:rsidRPr="00076670">
        <w:rPr>
          <w:b w:val="0"/>
          <w:color w:val="000000"/>
          <w:sz w:val="20"/>
          <w:szCs w:val="20"/>
        </w:rPr>
        <w:fldChar w:fldCharType="end"/>
      </w:r>
      <w:r w:rsidRPr="00076670">
        <w:rPr>
          <w:b w:val="0"/>
          <w:color w:val="000000"/>
          <w:sz w:val="20"/>
          <w:szCs w:val="20"/>
        </w:rPr>
        <w:t>.</w:t>
      </w:r>
    </w:p>
    <w:p w14:paraId="4E8510F7" w14:textId="77777777" w:rsidR="00076670" w:rsidRDefault="00076670" w:rsidP="00076670">
      <w:pPr>
        <w:pStyle w:val="Heading4"/>
        <w:tabs>
          <w:tab w:val="left" w:pos="1006"/>
        </w:tabs>
        <w:spacing w:line="276" w:lineRule="auto"/>
        <w:ind w:left="0" w:right="-29"/>
        <w:jc w:val="both"/>
        <w:rPr>
          <w:b w:val="0"/>
          <w:color w:val="000000"/>
          <w:sz w:val="20"/>
          <w:szCs w:val="20"/>
        </w:rPr>
      </w:pPr>
    </w:p>
    <w:p w14:paraId="763D3E8A" w14:textId="77777777" w:rsidR="00D460AE" w:rsidRPr="00076670" w:rsidRDefault="00000000" w:rsidP="00076670">
      <w:pPr>
        <w:pStyle w:val="BodyText"/>
        <w:spacing w:line="276" w:lineRule="auto"/>
        <w:ind w:right="-29"/>
        <w:jc w:val="both"/>
        <w:rPr>
          <w:b/>
          <w:color w:val="000000"/>
          <w:sz w:val="20"/>
          <w:szCs w:val="20"/>
        </w:rPr>
      </w:pPr>
      <w:r w:rsidRPr="00076670">
        <w:rPr>
          <w:b/>
          <w:color w:val="000000"/>
          <w:sz w:val="20"/>
          <w:szCs w:val="20"/>
        </w:rPr>
        <w:t>Material and Method:</w:t>
      </w:r>
    </w:p>
    <w:tbl>
      <w:tblPr>
        <w:tblW w:w="4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6"/>
        <w:gridCol w:w="2280"/>
        <w:gridCol w:w="1613"/>
      </w:tblGrid>
      <w:tr w:rsidR="00D460AE" w:rsidRPr="00076670" w14:paraId="2D889D57" w14:textId="77777777" w:rsidTr="00076670">
        <w:trPr>
          <w:trHeight w:val="307"/>
        </w:trPr>
        <w:tc>
          <w:tcPr>
            <w:tcW w:w="676" w:type="dxa"/>
            <w:vAlign w:val="center"/>
          </w:tcPr>
          <w:p w14:paraId="26952B92"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6"/>
                <w:sz w:val="20"/>
                <w:szCs w:val="20"/>
              </w:rPr>
              <w:t>Sr. No.</w:t>
            </w:r>
          </w:p>
        </w:tc>
        <w:tc>
          <w:tcPr>
            <w:tcW w:w="2280" w:type="dxa"/>
            <w:vAlign w:val="center"/>
          </w:tcPr>
          <w:p w14:paraId="43B54832"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2"/>
                <w:sz w:val="20"/>
                <w:szCs w:val="20"/>
              </w:rPr>
              <w:t>Materials</w:t>
            </w:r>
          </w:p>
        </w:tc>
        <w:tc>
          <w:tcPr>
            <w:tcW w:w="1613" w:type="dxa"/>
            <w:vAlign w:val="center"/>
          </w:tcPr>
          <w:p w14:paraId="1C9F7CEF"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2"/>
                <w:sz w:val="20"/>
                <w:szCs w:val="20"/>
              </w:rPr>
              <w:t>Role</w:t>
            </w:r>
          </w:p>
        </w:tc>
      </w:tr>
      <w:tr w:rsidR="00D460AE" w:rsidRPr="00076670" w14:paraId="28565AA4" w14:textId="77777777" w:rsidTr="00076670">
        <w:trPr>
          <w:trHeight w:val="272"/>
        </w:trPr>
        <w:tc>
          <w:tcPr>
            <w:tcW w:w="676" w:type="dxa"/>
            <w:vAlign w:val="center"/>
          </w:tcPr>
          <w:p w14:paraId="6D08D524" w14:textId="77777777" w:rsidR="00D460AE" w:rsidRPr="00076670" w:rsidRDefault="00000000" w:rsidP="00076670">
            <w:pPr>
              <w:pStyle w:val="TableParagraph"/>
              <w:spacing w:line="276" w:lineRule="auto"/>
              <w:ind w:right="-29"/>
              <w:jc w:val="center"/>
              <w:rPr>
                <w:color w:val="000000"/>
                <w:spacing w:val="-6"/>
                <w:sz w:val="20"/>
                <w:szCs w:val="20"/>
              </w:rPr>
            </w:pPr>
            <w:r w:rsidRPr="00076670">
              <w:rPr>
                <w:color w:val="000000"/>
                <w:spacing w:val="-6"/>
                <w:sz w:val="20"/>
                <w:szCs w:val="20"/>
              </w:rPr>
              <w:t>1</w:t>
            </w:r>
          </w:p>
        </w:tc>
        <w:tc>
          <w:tcPr>
            <w:tcW w:w="2280" w:type="dxa"/>
            <w:vAlign w:val="center"/>
          </w:tcPr>
          <w:p w14:paraId="06E5AB4F" w14:textId="77777777" w:rsidR="00D460AE" w:rsidRPr="00076670" w:rsidRDefault="00000000" w:rsidP="00076670">
            <w:pPr>
              <w:pStyle w:val="TableParagraph"/>
              <w:spacing w:line="276" w:lineRule="auto"/>
              <w:ind w:right="-29"/>
              <w:jc w:val="center"/>
              <w:rPr>
                <w:i/>
                <w:color w:val="000000"/>
                <w:spacing w:val="-2"/>
                <w:sz w:val="20"/>
                <w:szCs w:val="20"/>
              </w:rPr>
            </w:pPr>
            <w:r w:rsidRPr="00076670">
              <w:rPr>
                <w:i/>
                <w:color w:val="000000"/>
                <w:spacing w:val="-2"/>
                <w:sz w:val="20"/>
                <w:szCs w:val="20"/>
              </w:rPr>
              <w:t xml:space="preserve">Tribulus terrestris </w:t>
            </w:r>
            <w:r w:rsidRPr="00076670">
              <w:rPr>
                <w:color w:val="000000"/>
                <w:spacing w:val="-2"/>
                <w:sz w:val="20"/>
                <w:szCs w:val="20"/>
              </w:rPr>
              <w:t>Extract</w:t>
            </w:r>
          </w:p>
        </w:tc>
        <w:tc>
          <w:tcPr>
            <w:tcW w:w="1613" w:type="dxa"/>
            <w:vAlign w:val="center"/>
          </w:tcPr>
          <w:p w14:paraId="33E9B876" w14:textId="77777777" w:rsidR="00D460AE" w:rsidRPr="00076670" w:rsidRDefault="00000000" w:rsidP="00076670">
            <w:pPr>
              <w:pStyle w:val="TableParagraph"/>
              <w:spacing w:line="276" w:lineRule="auto"/>
              <w:ind w:right="-29"/>
              <w:jc w:val="center"/>
              <w:rPr>
                <w:color w:val="000000"/>
                <w:spacing w:val="-2"/>
                <w:sz w:val="20"/>
                <w:szCs w:val="20"/>
              </w:rPr>
            </w:pPr>
            <w:r w:rsidRPr="00076670">
              <w:rPr>
                <w:color w:val="000000"/>
                <w:spacing w:val="-2"/>
                <w:sz w:val="20"/>
                <w:szCs w:val="20"/>
              </w:rPr>
              <w:t>Active Ingrident</w:t>
            </w:r>
          </w:p>
        </w:tc>
      </w:tr>
      <w:tr w:rsidR="00D460AE" w:rsidRPr="00076670" w14:paraId="1FFDF095" w14:textId="77777777" w:rsidTr="00076670">
        <w:trPr>
          <w:trHeight w:val="312"/>
        </w:trPr>
        <w:tc>
          <w:tcPr>
            <w:tcW w:w="676" w:type="dxa"/>
            <w:vAlign w:val="center"/>
          </w:tcPr>
          <w:p w14:paraId="13DFFBE7"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2</w:t>
            </w:r>
          </w:p>
        </w:tc>
        <w:tc>
          <w:tcPr>
            <w:tcW w:w="2280" w:type="dxa"/>
            <w:vAlign w:val="center"/>
          </w:tcPr>
          <w:p w14:paraId="12CF9AD9"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Gelatin</w:t>
            </w:r>
          </w:p>
        </w:tc>
        <w:tc>
          <w:tcPr>
            <w:tcW w:w="1613" w:type="dxa"/>
            <w:vAlign w:val="center"/>
          </w:tcPr>
          <w:p w14:paraId="417426B6"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Gelling agent</w:t>
            </w:r>
          </w:p>
        </w:tc>
      </w:tr>
      <w:tr w:rsidR="00D460AE" w:rsidRPr="00076670" w14:paraId="027E98A3" w14:textId="77777777" w:rsidTr="00076670">
        <w:trPr>
          <w:trHeight w:val="312"/>
        </w:trPr>
        <w:tc>
          <w:tcPr>
            <w:tcW w:w="676" w:type="dxa"/>
            <w:vAlign w:val="center"/>
          </w:tcPr>
          <w:p w14:paraId="6C033D26"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3</w:t>
            </w:r>
          </w:p>
        </w:tc>
        <w:tc>
          <w:tcPr>
            <w:tcW w:w="2280" w:type="dxa"/>
            <w:vAlign w:val="center"/>
          </w:tcPr>
          <w:p w14:paraId="534DBD69" w14:textId="77777777" w:rsidR="00D460AE" w:rsidRPr="00076670" w:rsidRDefault="00000000" w:rsidP="00076670">
            <w:pPr>
              <w:pStyle w:val="TableParagraph"/>
              <w:spacing w:line="276" w:lineRule="auto"/>
              <w:ind w:right="-29"/>
              <w:jc w:val="center"/>
              <w:rPr>
                <w:color w:val="000000"/>
                <w:spacing w:val="-4"/>
                <w:sz w:val="20"/>
                <w:szCs w:val="20"/>
              </w:rPr>
            </w:pPr>
            <w:r w:rsidRPr="00076670">
              <w:rPr>
                <w:color w:val="000000"/>
                <w:spacing w:val="-4"/>
                <w:sz w:val="20"/>
                <w:szCs w:val="20"/>
              </w:rPr>
              <w:t>Agar</w:t>
            </w:r>
          </w:p>
        </w:tc>
        <w:tc>
          <w:tcPr>
            <w:tcW w:w="1613" w:type="dxa"/>
            <w:vAlign w:val="center"/>
          </w:tcPr>
          <w:p w14:paraId="6868407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Gelling agent</w:t>
            </w:r>
          </w:p>
        </w:tc>
      </w:tr>
      <w:tr w:rsidR="00D460AE" w:rsidRPr="00076670" w14:paraId="0AD706BB" w14:textId="77777777" w:rsidTr="00076670">
        <w:trPr>
          <w:trHeight w:val="312"/>
        </w:trPr>
        <w:tc>
          <w:tcPr>
            <w:tcW w:w="676" w:type="dxa"/>
            <w:vAlign w:val="center"/>
          </w:tcPr>
          <w:p w14:paraId="4DB2528C" w14:textId="77777777" w:rsidR="00D460AE" w:rsidRPr="00076670" w:rsidRDefault="00000000" w:rsidP="00076670">
            <w:pPr>
              <w:pStyle w:val="TableParagraph"/>
              <w:spacing w:line="276" w:lineRule="auto"/>
              <w:ind w:right="-29"/>
              <w:jc w:val="center"/>
              <w:rPr>
                <w:color w:val="000000"/>
                <w:spacing w:val="-10"/>
                <w:sz w:val="20"/>
                <w:szCs w:val="20"/>
              </w:rPr>
            </w:pPr>
            <w:r w:rsidRPr="00076670">
              <w:rPr>
                <w:color w:val="000000"/>
                <w:spacing w:val="-10"/>
                <w:sz w:val="20"/>
                <w:szCs w:val="20"/>
              </w:rPr>
              <w:lastRenderedPageBreak/>
              <w:t>4</w:t>
            </w:r>
          </w:p>
        </w:tc>
        <w:tc>
          <w:tcPr>
            <w:tcW w:w="2280" w:type="dxa"/>
            <w:vAlign w:val="center"/>
          </w:tcPr>
          <w:p w14:paraId="4D159A94" w14:textId="77777777" w:rsidR="00D460AE" w:rsidRPr="00076670" w:rsidRDefault="00000000" w:rsidP="00076670">
            <w:pPr>
              <w:pStyle w:val="TableParagraph"/>
              <w:spacing w:line="276" w:lineRule="auto"/>
              <w:ind w:right="-29"/>
              <w:jc w:val="center"/>
              <w:rPr>
                <w:color w:val="000000"/>
                <w:spacing w:val="-4"/>
                <w:sz w:val="20"/>
                <w:szCs w:val="20"/>
              </w:rPr>
            </w:pPr>
            <w:r w:rsidRPr="00076670">
              <w:rPr>
                <w:color w:val="000000"/>
                <w:spacing w:val="-4"/>
                <w:sz w:val="20"/>
                <w:szCs w:val="20"/>
              </w:rPr>
              <w:t>Pectin</w:t>
            </w:r>
          </w:p>
        </w:tc>
        <w:tc>
          <w:tcPr>
            <w:tcW w:w="1613" w:type="dxa"/>
            <w:vAlign w:val="center"/>
          </w:tcPr>
          <w:p w14:paraId="50D808D0"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Gelling agent</w:t>
            </w:r>
          </w:p>
        </w:tc>
      </w:tr>
      <w:tr w:rsidR="00D460AE" w:rsidRPr="00076670" w14:paraId="3C0FCB61" w14:textId="77777777" w:rsidTr="00076670">
        <w:trPr>
          <w:trHeight w:val="342"/>
        </w:trPr>
        <w:tc>
          <w:tcPr>
            <w:tcW w:w="676" w:type="dxa"/>
            <w:vAlign w:val="center"/>
          </w:tcPr>
          <w:p w14:paraId="7629EE60"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5</w:t>
            </w:r>
          </w:p>
        </w:tc>
        <w:tc>
          <w:tcPr>
            <w:tcW w:w="2280" w:type="dxa"/>
            <w:vAlign w:val="center"/>
          </w:tcPr>
          <w:p w14:paraId="41AACCC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Propylene</w:t>
            </w:r>
            <w:r w:rsidRPr="00076670">
              <w:rPr>
                <w:color w:val="000000"/>
                <w:spacing w:val="-14"/>
                <w:sz w:val="20"/>
                <w:szCs w:val="20"/>
              </w:rPr>
              <w:t xml:space="preserve"> </w:t>
            </w:r>
            <w:r w:rsidRPr="00076670">
              <w:rPr>
                <w:color w:val="000000"/>
                <w:spacing w:val="-2"/>
                <w:sz w:val="20"/>
                <w:szCs w:val="20"/>
              </w:rPr>
              <w:t>Glycol</w:t>
            </w:r>
          </w:p>
        </w:tc>
        <w:tc>
          <w:tcPr>
            <w:tcW w:w="1613" w:type="dxa"/>
            <w:vAlign w:val="center"/>
          </w:tcPr>
          <w:p w14:paraId="507F3B39"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Stabilizer</w:t>
            </w:r>
          </w:p>
        </w:tc>
      </w:tr>
      <w:tr w:rsidR="00D460AE" w:rsidRPr="00076670" w14:paraId="0C61A4C7" w14:textId="77777777" w:rsidTr="00076670">
        <w:trPr>
          <w:trHeight w:val="312"/>
        </w:trPr>
        <w:tc>
          <w:tcPr>
            <w:tcW w:w="676" w:type="dxa"/>
            <w:vAlign w:val="center"/>
          </w:tcPr>
          <w:p w14:paraId="44FA21A1"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6</w:t>
            </w:r>
          </w:p>
        </w:tc>
        <w:tc>
          <w:tcPr>
            <w:tcW w:w="2280" w:type="dxa"/>
            <w:vAlign w:val="center"/>
          </w:tcPr>
          <w:p w14:paraId="4AE8EBB7"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Citric</w:t>
            </w:r>
            <w:r w:rsidRPr="00076670">
              <w:rPr>
                <w:color w:val="000000"/>
                <w:spacing w:val="-11"/>
                <w:sz w:val="20"/>
                <w:szCs w:val="20"/>
              </w:rPr>
              <w:t xml:space="preserve"> </w:t>
            </w:r>
            <w:r w:rsidRPr="00076670">
              <w:rPr>
                <w:color w:val="000000"/>
                <w:spacing w:val="-4"/>
                <w:sz w:val="20"/>
                <w:szCs w:val="20"/>
              </w:rPr>
              <w:t>acid</w:t>
            </w:r>
          </w:p>
        </w:tc>
        <w:tc>
          <w:tcPr>
            <w:tcW w:w="1613" w:type="dxa"/>
            <w:vAlign w:val="center"/>
          </w:tcPr>
          <w:p w14:paraId="64A7973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pH modifier</w:t>
            </w:r>
          </w:p>
        </w:tc>
      </w:tr>
      <w:tr w:rsidR="00D460AE" w:rsidRPr="00076670" w14:paraId="2E9B1796" w14:textId="77777777" w:rsidTr="00076670">
        <w:trPr>
          <w:trHeight w:val="312"/>
        </w:trPr>
        <w:tc>
          <w:tcPr>
            <w:tcW w:w="676" w:type="dxa"/>
            <w:vAlign w:val="center"/>
          </w:tcPr>
          <w:p w14:paraId="18FB20D1" w14:textId="77777777" w:rsidR="00D460AE" w:rsidRPr="00076670" w:rsidRDefault="00000000" w:rsidP="00076670">
            <w:pPr>
              <w:pStyle w:val="TableParagraph"/>
              <w:spacing w:line="276" w:lineRule="auto"/>
              <w:ind w:right="-29"/>
              <w:jc w:val="center"/>
              <w:rPr>
                <w:color w:val="000000"/>
                <w:spacing w:val="-10"/>
                <w:sz w:val="20"/>
                <w:szCs w:val="20"/>
              </w:rPr>
            </w:pPr>
            <w:r w:rsidRPr="00076670">
              <w:rPr>
                <w:color w:val="000000"/>
                <w:spacing w:val="-10"/>
                <w:sz w:val="20"/>
                <w:szCs w:val="20"/>
              </w:rPr>
              <w:t>7</w:t>
            </w:r>
          </w:p>
        </w:tc>
        <w:tc>
          <w:tcPr>
            <w:tcW w:w="2280" w:type="dxa"/>
            <w:vAlign w:val="center"/>
          </w:tcPr>
          <w:p w14:paraId="7526A014" w14:textId="77777777" w:rsidR="00D460AE" w:rsidRPr="00076670" w:rsidRDefault="00000000" w:rsidP="00076670">
            <w:pPr>
              <w:pStyle w:val="TableParagraph"/>
              <w:spacing w:line="276" w:lineRule="auto"/>
              <w:ind w:right="-29"/>
              <w:jc w:val="center"/>
              <w:rPr>
                <w:color w:val="000000"/>
                <w:spacing w:val="-2"/>
                <w:sz w:val="20"/>
                <w:szCs w:val="20"/>
              </w:rPr>
            </w:pPr>
            <w:r w:rsidRPr="00076670">
              <w:rPr>
                <w:color w:val="000000"/>
                <w:spacing w:val="-2"/>
                <w:sz w:val="20"/>
                <w:szCs w:val="20"/>
              </w:rPr>
              <w:t>Raspberry Syrup</w:t>
            </w:r>
          </w:p>
        </w:tc>
        <w:tc>
          <w:tcPr>
            <w:tcW w:w="1613" w:type="dxa"/>
            <w:vAlign w:val="center"/>
          </w:tcPr>
          <w:p w14:paraId="65D81B45"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Colouring Agent</w:t>
            </w:r>
          </w:p>
        </w:tc>
      </w:tr>
      <w:tr w:rsidR="00D460AE" w:rsidRPr="00076670" w14:paraId="695F6BB4" w14:textId="77777777" w:rsidTr="00076670">
        <w:trPr>
          <w:trHeight w:val="316"/>
        </w:trPr>
        <w:tc>
          <w:tcPr>
            <w:tcW w:w="676" w:type="dxa"/>
            <w:vAlign w:val="center"/>
          </w:tcPr>
          <w:p w14:paraId="0EE49017"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8</w:t>
            </w:r>
          </w:p>
        </w:tc>
        <w:tc>
          <w:tcPr>
            <w:tcW w:w="2280" w:type="dxa"/>
            <w:vAlign w:val="center"/>
          </w:tcPr>
          <w:p w14:paraId="7178777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Curcumin</w:t>
            </w:r>
          </w:p>
        </w:tc>
        <w:tc>
          <w:tcPr>
            <w:tcW w:w="1613" w:type="dxa"/>
            <w:vAlign w:val="center"/>
          </w:tcPr>
          <w:p w14:paraId="358C7B35"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Colouring Agent</w:t>
            </w:r>
          </w:p>
        </w:tc>
      </w:tr>
      <w:tr w:rsidR="00D460AE" w:rsidRPr="00076670" w14:paraId="27C51D72" w14:textId="77777777" w:rsidTr="00076670">
        <w:trPr>
          <w:trHeight w:val="312"/>
        </w:trPr>
        <w:tc>
          <w:tcPr>
            <w:tcW w:w="676" w:type="dxa"/>
            <w:vAlign w:val="center"/>
          </w:tcPr>
          <w:p w14:paraId="0CB3D53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9</w:t>
            </w:r>
          </w:p>
        </w:tc>
        <w:tc>
          <w:tcPr>
            <w:tcW w:w="2280" w:type="dxa"/>
            <w:vAlign w:val="center"/>
          </w:tcPr>
          <w:p w14:paraId="6A07B6B5"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Vanilla</w:t>
            </w:r>
            <w:r w:rsidRPr="00076670">
              <w:rPr>
                <w:color w:val="000000"/>
                <w:spacing w:val="-5"/>
                <w:sz w:val="20"/>
                <w:szCs w:val="20"/>
              </w:rPr>
              <w:t xml:space="preserve"> </w:t>
            </w:r>
            <w:r w:rsidRPr="00076670">
              <w:rPr>
                <w:color w:val="000000"/>
                <w:spacing w:val="-2"/>
                <w:sz w:val="20"/>
                <w:szCs w:val="20"/>
              </w:rPr>
              <w:t>essence</w:t>
            </w:r>
          </w:p>
        </w:tc>
        <w:tc>
          <w:tcPr>
            <w:tcW w:w="1613" w:type="dxa"/>
            <w:vAlign w:val="center"/>
          </w:tcPr>
          <w:p w14:paraId="44F93723"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Flavouring Agent</w:t>
            </w:r>
          </w:p>
        </w:tc>
      </w:tr>
      <w:tr w:rsidR="00D460AE" w:rsidRPr="00076670" w14:paraId="56C67455" w14:textId="77777777" w:rsidTr="00076670">
        <w:trPr>
          <w:trHeight w:val="404"/>
        </w:trPr>
        <w:tc>
          <w:tcPr>
            <w:tcW w:w="676" w:type="dxa"/>
            <w:vAlign w:val="center"/>
          </w:tcPr>
          <w:p w14:paraId="50076F30"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10</w:t>
            </w:r>
          </w:p>
        </w:tc>
        <w:tc>
          <w:tcPr>
            <w:tcW w:w="2280" w:type="dxa"/>
            <w:vAlign w:val="center"/>
          </w:tcPr>
          <w:p w14:paraId="484156EF"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Sodium</w:t>
            </w:r>
            <w:r w:rsidRPr="00076670">
              <w:rPr>
                <w:color w:val="000000"/>
                <w:spacing w:val="42"/>
                <w:sz w:val="20"/>
                <w:szCs w:val="20"/>
              </w:rPr>
              <w:t xml:space="preserve"> </w:t>
            </w:r>
            <w:r w:rsidRPr="00076670">
              <w:rPr>
                <w:color w:val="000000"/>
                <w:spacing w:val="-2"/>
                <w:sz w:val="20"/>
                <w:szCs w:val="20"/>
              </w:rPr>
              <w:t>Benzoate</w:t>
            </w:r>
          </w:p>
        </w:tc>
        <w:tc>
          <w:tcPr>
            <w:tcW w:w="1613" w:type="dxa"/>
            <w:vAlign w:val="center"/>
          </w:tcPr>
          <w:p w14:paraId="0DB0E82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Preservative</w:t>
            </w:r>
          </w:p>
        </w:tc>
      </w:tr>
      <w:tr w:rsidR="00D460AE" w:rsidRPr="00076670" w14:paraId="47C05E0B" w14:textId="77777777" w:rsidTr="00076670">
        <w:trPr>
          <w:trHeight w:val="404"/>
        </w:trPr>
        <w:tc>
          <w:tcPr>
            <w:tcW w:w="676" w:type="dxa"/>
            <w:vAlign w:val="center"/>
          </w:tcPr>
          <w:p w14:paraId="1669D71E" w14:textId="77777777" w:rsidR="00D460AE" w:rsidRPr="00076670" w:rsidRDefault="00000000" w:rsidP="00076670">
            <w:pPr>
              <w:pStyle w:val="TableParagraph"/>
              <w:spacing w:line="276" w:lineRule="auto"/>
              <w:ind w:right="-29"/>
              <w:jc w:val="center"/>
              <w:rPr>
                <w:color w:val="000000"/>
                <w:spacing w:val="-10"/>
                <w:sz w:val="20"/>
                <w:szCs w:val="20"/>
              </w:rPr>
            </w:pPr>
            <w:r w:rsidRPr="00076670">
              <w:rPr>
                <w:color w:val="000000"/>
                <w:spacing w:val="-10"/>
                <w:sz w:val="20"/>
                <w:szCs w:val="20"/>
              </w:rPr>
              <w:t>11</w:t>
            </w:r>
          </w:p>
        </w:tc>
        <w:tc>
          <w:tcPr>
            <w:tcW w:w="2280" w:type="dxa"/>
            <w:vAlign w:val="center"/>
          </w:tcPr>
          <w:p w14:paraId="756E6580"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Polyvinyl Alcohol</w:t>
            </w:r>
          </w:p>
        </w:tc>
        <w:tc>
          <w:tcPr>
            <w:tcW w:w="1613" w:type="dxa"/>
            <w:vAlign w:val="center"/>
          </w:tcPr>
          <w:p w14:paraId="2738C3E8"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Polymer</w:t>
            </w:r>
          </w:p>
        </w:tc>
      </w:tr>
      <w:tr w:rsidR="00D460AE" w:rsidRPr="00076670" w14:paraId="4570485B" w14:textId="77777777" w:rsidTr="00076670">
        <w:trPr>
          <w:trHeight w:val="105"/>
        </w:trPr>
        <w:tc>
          <w:tcPr>
            <w:tcW w:w="676" w:type="dxa"/>
            <w:vAlign w:val="center"/>
          </w:tcPr>
          <w:p w14:paraId="39E49FC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12</w:t>
            </w:r>
          </w:p>
        </w:tc>
        <w:tc>
          <w:tcPr>
            <w:tcW w:w="2280" w:type="dxa"/>
            <w:vAlign w:val="center"/>
          </w:tcPr>
          <w:p w14:paraId="12D1FEE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Sucrose</w:t>
            </w:r>
          </w:p>
        </w:tc>
        <w:tc>
          <w:tcPr>
            <w:tcW w:w="1613" w:type="dxa"/>
            <w:vAlign w:val="center"/>
          </w:tcPr>
          <w:p w14:paraId="1D2C3EC2"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Sweetener</w:t>
            </w:r>
          </w:p>
        </w:tc>
      </w:tr>
      <w:tr w:rsidR="00D460AE" w:rsidRPr="00076670" w14:paraId="19EBFB10" w14:textId="77777777" w:rsidTr="00076670">
        <w:trPr>
          <w:trHeight w:val="68"/>
        </w:trPr>
        <w:tc>
          <w:tcPr>
            <w:tcW w:w="676" w:type="dxa"/>
            <w:vAlign w:val="center"/>
          </w:tcPr>
          <w:p w14:paraId="7F94A78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13</w:t>
            </w:r>
          </w:p>
        </w:tc>
        <w:tc>
          <w:tcPr>
            <w:tcW w:w="2280" w:type="dxa"/>
            <w:vAlign w:val="center"/>
          </w:tcPr>
          <w:p w14:paraId="04EB78B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Distilled</w:t>
            </w:r>
            <w:r w:rsidRPr="00076670">
              <w:rPr>
                <w:color w:val="000000"/>
                <w:spacing w:val="-8"/>
                <w:sz w:val="20"/>
                <w:szCs w:val="20"/>
              </w:rPr>
              <w:t xml:space="preserve"> </w:t>
            </w:r>
            <w:r w:rsidRPr="00076670">
              <w:rPr>
                <w:color w:val="000000"/>
                <w:spacing w:val="-2"/>
                <w:sz w:val="20"/>
                <w:szCs w:val="20"/>
              </w:rPr>
              <w:t>Water</w:t>
            </w:r>
          </w:p>
        </w:tc>
        <w:tc>
          <w:tcPr>
            <w:tcW w:w="1613" w:type="dxa"/>
            <w:vAlign w:val="center"/>
          </w:tcPr>
          <w:p w14:paraId="58824DB5"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Vehicle</w:t>
            </w:r>
          </w:p>
        </w:tc>
      </w:tr>
    </w:tbl>
    <w:p w14:paraId="0D0B5448" w14:textId="77777777"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fldChar w:fldCharType="begin"/>
      </w:r>
      <w:r w:rsidRPr="00076670">
        <w:rPr>
          <w:color w:val="000000"/>
          <w:sz w:val="20"/>
          <w:szCs w:val="20"/>
        </w:rPr>
        <w:instrText>ADDIN CSL_CITATION {"citationItems":[{"id":"ITEM-1","itemData":{"DOI":"10.35629/7781-0704174179","author":[{"dropping-particle":"","family":"Rathod","given":"Ms Pranita I","non-dropping-particle":"","parse-names":false,"suffix":""},{"dropping-particle":"V","family":"Deshpande","given":"Prof V","non-dropping-particle":"","parse-names":false,"suffix":""},{"dropping-particle":"","family":"Shaikh","given":"Shadab","non-dropping-particle":"","parse-names":false,"suffix":""},{"dropping-particle":"","family":"Pathare","given":"Ms Shreya B","non-dropping-particle":"","parse-names":false,"suffix":""},{"dropping-particle":"","family":"Nawghare","given":"Ms Shweta M","non-dropping-particle":"","parse-names":false,"suffix":""},{"dropping-particle":"","family":"S","given":"Ms Shweta","non-dropping-particle":"","parse-names":false,"suffix":""}],"container-title":"International Journal of Pharmaceutical Research and Applications","id":"ITEM-1","issue":"4","issued":{"date-parts":[["2022"]]},"page":"174-179","title":"Review on Formulation and Development of Oral Medicated Jellies","type":"article-journal","volume":"7"},"uris":["http://www.mendeley.com/documents/?uuid=59f0e4f3-b54b-4fc1-81a2-b2666b380be1"]}],"mendeley":{"formattedCitation":"(Rathod et al. 2022)","plainTextFormattedCitation":"(Rathod et al. 2022)","previouslyFormattedCitation":"(Rathod et al. 2022)"},"properties":{"noteIndex":0},"schema":"https://github.com/citation-style-language/schema/raw/master/csl-citation.json"}</w:instrText>
      </w:r>
      <w:r w:rsidRPr="00076670">
        <w:rPr>
          <w:color w:val="000000"/>
          <w:sz w:val="20"/>
          <w:szCs w:val="20"/>
        </w:rPr>
        <w:fldChar w:fldCharType="separate"/>
      </w:r>
      <w:r w:rsidRPr="00076670">
        <w:rPr>
          <w:noProof/>
          <w:color w:val="000000"/>
          <w:sz w:val="20"/>
          <w:szCs w:val="20"/>
        </w:rPr>
        <w:t>(Rathod et al. 2022)</w:t>
      </w:r>
      <w:r w:rsidRPr="00076670">
        <w:rPr>
          <w:color w:val="000000"/>
          <w:sz w:val="20"/>
          <w:szCs w:val="20"/>
        </w:rPr>
        <w:fldChar w:fldCharType="end"/>
      </w:r>
    </w:p>
    <w:p w14:paraId="37D2FAA4" w14:textId="77777777" w:rsidR="00076670" w:rsidRDefault="00076670" w:rsidP="00076670">
      <w:pPr>
        <w:pStyle w:val="Heading5"/>
        <w:keepNext w:val="0"/>
        <w:keepLines w:val="0"/>
        <w:widowControl w:val="0"/>
        <w:tabs>
          <w:tab w:val="left" w:pos="824"/>
        </w:tabs>
        <w:autoSpaceDE w:val="0"/>
        <w:autoSpaceDN w:val="0"/>
        <w:spacing w:before="0"/>
        <w:ind w:right="-29"/>
        <w:jc w:val="both"/>
        <w:rPr>
          <w:rFonts w:ascii="Times New Roman" w:hAnsi="Times New Roman" w:cs="Times New Roman"/>
          <w:b/>
          <w:color w:val="000000"/>
          <w:sz w:val="20"/>
          <w:szCs w:val="20"/>
        </w:rPr>
      </w:pPr>
    </w:p>
    <w:p w14:paraId="06ACFBDE" w14:textId="61E8B775" w:rsidR="00D460AE" w:rsidRPr="00076670" w:rsidRDefault="00000000" w:rsidP="00076670">
      <w:pPr>
        <w:pStyle w:val="Heading5"/>
        <w:keepNext w:val="0"/>
        <w:keepLines w:val="0"/>
        <w:widowControl w:val="0"/>
        <w:tabs>
          <w:tab w:val="left" w:pos="824"/>
        </w:tabs>
        <w:autoSpaceDE w:val="0"/>
        <w:autoSpaceDN w:val="0"/>
        <w:spacing w:before="0"/>
        <w:ind w:right="-29"/>
        <w:jc w:val="both"/>
        <w:rPr>
          <w:rFonts w:ascii="Times New Roman" w:hAnsi="Times New Roman" w:cs="Times New Roman"/>
          <w:b/>
          <w:color w:val="000000"/>
          <w:spacing w:val="-2"/>
          <w:sz w:val="20"/>
          <w:szCs w:val="20"/>
        </w:rPr>
      </w:pPr>
      <w:r w:rsidRPr="00076670">
        <w:rPr>
          <w:rFonts w:ascii="Times New Roman" w:hAnsi="Times New Roman" w:cs="Times New Roman"/>
          <w:b/>
          <w:color w:val="000000"/>
          <w:sz w:val="20"/>
          <w:szCs w:val="20"/>
        </w:rPr>
        <w:t>Collection and</w:t>
      </w:r>
      <w:r w:rsidRPr="00076670">
        <w:rPr>
          <w:rFonts w:ascii="Times New Roman" w:hAnsi="Times New Roman" w:cs="Times New Roman"/>
          <w:b/>
          <w:color w:val="000000"/>
          <w:spacing w:val="-8"/>
          <w:sz w:val="20"/>
          <w:szCs w:val="20"/>
        </w:rPr>
        <w:t xml:space="preserve"> </w:t>
      </w:r>
      <w:r w:rsidRPr="00076670">
        <w:rPr>
          <w:rFonts w:ascii="Times New Roman" w:hAnsi="Times New Roman" w:cs="Times New Roman"/>
          <w:b/>
          <w:color w:val="000000"/>
          <w:spacing w:val="-2"/>
          <w:sz w:val="20"/>
          <w:szCs w:val="20"/>
        </w:rPr>
        <w:t>Authentication:</w:t>
      </w:r>
    </w:p>
    <w:p w14:paraId="35471F7C" w14:textId="77777777" w:rsidR="00D460AE" w:rsidRPr="00076670" w:rsidRDefault="00000000" w:rsidP="00076670">
      <w:pPr>
        <w:pStyle w:val="BodyText"/>
        <w:spacing w:line="276" w:lineRule="auto"/>
        <w:ind w:right="-29"/>
        <w:jc w:val="both"/>
        <w:rPr>
          <w:color w:val="000000"/>
          <w:sz w:val="20"/>
          <w:szCs w:val="20"/>
        </w:rPr>
      </w:pPr>
      <w:r w:rsidRPr="00076670">
        <w:rPr>
          <w:i/>
          <w:color w:val="000000"/>
          <w:sz w:val="20"/>
          <w:szCs w:val="20"/>
        </w:rPr>
        <w:t>Tribulus terrestris</w:t>
      </w:r>
      <w:r w:rsidRPr="00076670">
        <w:rPr>
          <w:color w:val="000000"/>
          <w:sz w:val="20"/>
          <w:szCs w:val="20"/>
        </w:rPr>
        <w:t xml:space="preserve"> plants were collected from Yeola, Maharashtra, India.</w:t>
      </w:r>
    </w:p>
    <w:p w14:paraId="048F957E" w14:textId="77777777"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t>The Authentication was done by</w:t>
      </w:r>
      <w:r w:rsidRPr="00076670">
        <w:rPr>
          <w:color w:val="000000"/>
          <w:spacing w:val="-2"/>
          <w:sz w:val="20"/>
          <w:szCs w:val="20"/>
        </w:rPr>
        <w:t xml:space="preserve"> </w:t>
      </w:r>
      <w:r w:rsidRPr="00076670">
        <w:rPr>
          <w:color w:val="000000"/>
          <w:sz w:val="20"/>
          <w:szCs w:val="20"/>
        </w:rPr>
        <w:t>Dr. Wankhede, Department of</w:t>
      </w:r>
      <w:r w:rsidRPr="00076670">
        <w:rPr>
          <w:color w:val="000000"/>
          <w:spacing w:val="-4"/>
          <w:sz w:val="20"/>
          <w:szCs w:val="20"/>
        </w:rPr>
        <w:t xml:space="preserve"> </w:t>
      </w:r>
      <w:r w:rsidRPr="00076670">
        <w:rPr>
          <w:color w:val="000000"/>
          <w:sz w:val="20"/>
          <w:szCs w:val="20"/>
        </w:rPr>
        <w:t>Dravyaguna, at SMBT college of Ayurveda, Dhamangaon.</w:t>
      </w:r>
    </w:p>
    <w:p w14:paraId="22020A38" w14:textId="77777777" w:rsidR="00076670" w:rsidRDefault="00076670" w:rsidP="00076670">
      <w:pPr>
        <w:pStyle w:val="Heading5"/>
        <w:keepNext w:val="0"/>
        <w:keepLines w:val="0"/>
        <w:widowControl w:val="0"/>
        <w:tabs>
          <w:tab w:val="left" w:pos="824"/>
        </w:tabs>
        <w:autoSpaceDE w:val="0"/>
        <w:autoSpaceDN w:val="0"/>
        <w:spacing w:before="0"/>
        <w:ind w:right="-29"/>
        <w:jc w:val="both"/>
        <w:rPr>
          <w:rFonts w:ascii="Times New Roman" w:hAnsi="Times New Roman" w:cs="Times New Roman"/>
          <w:b/>
          <w:color w:val="000000"/>
          <w:spacing w:val="-2"/>
          <w:sz w:val="20"/>
          <w:szCs w:val="20"/>
        </w:rPr>
      </w:pPr>
    </w:p>
    <w:p w14:paraId="1366B427" w14:textId="33E63813" w:rsidR="00D460AE" w:rsidRPr="00076670" w:rsidRDefault="00000000" w:rsidP="00076670">
      <w:pPr>
        <w:pStyle w:val="Heading5"/>
        <w:keepNext w:val="0"/>
        <w:keepLines w:val="0"/>
        <w:widowControl w:val="0"/>
        <w:tabs>
          <w:tab w:val="left" w:pos="824"/>
        </w:tabs>
        <w:autoSpaceDE w:val="0"/>
        <w:autoSpaceDN w:val="0"/>
        <w:spacing w:before="0"/>
        <w:ind w:right="-29"/>
        <w:jc w:val="both"/>
        <w:rPr>
          <w:rFonts w:ascii="Times New Roman" w:hAnsi="Times New Roman" w:cs="Times New Roman"/>
          <w:b/>
          <w:color w:val="000000"/>
          <w:spacing w:val="-2"/>
          <w:sz w:val="20"/>
          <w:szCs w:val="20"/>
        </w:rPr>
      </w:pPr>
      <w:r w:rsidRPr="00076670">
        <w:rPr>
          <w:rFonts w:ascii="Times New Roman" w:hAnsi="Times New Roman" w:cs="Times New Roman"/>
          <w:b/>
          <w:color w:val="000000"/>
          <w:spacing w:val="-2"/>
          <w:sz w:val="20"/>
          <w:szCs w:val="20"/>
        </w:rPr>
        <w:t>Extraction</w:t>
      </w:r>
      <w:r w:rsidRPr="00076670">
        <w:rPr>
          <w:rFonts w:ascii="Times New Roman" w:hAnsi="Times New Roman" w:cs="Times New Roman"/>
          <w:b/>
          <w:color w:val="000000"/>
          <w:spacing w:val="3"/>
          <w:sz w:val="20"/>
          <w:szCs w:val="20"/>
        </w:rPr>
        <w:t xml:space="preserve"> </w:t>
      </w:r>
      <w:r w:rsidRPr="00076670">
        <w:rPr>
          <w:rFonts w:ascii="Times New Roman" w:hAnsi="Times New Roman" w:cs="Times New Roman"/>
          <w:b/>
          <w:color w:val="000000"/>
          <w:spacing w:val="-2"/>
          <w:sz w:val="20"/>
          <w:szCs w:val="20"/>
        </w:rPr>
        <w:t>methodology:</w:t>
      </w:r>
    </w:p>
    <w:p w14:paraId="661A0A8A" w14:textId="77777777"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t xml:space="preserve">The fruits of </w:t>
      </w:r>
      <w:r w:rsidRPr="00076670">
        <w:rPr>
          <w:i/>
          <w:color w:val="000000"/>
          <w:sz w:val="20"/>
          <w:szCs w:val="20"/>
        </w:rPr>
        <w:t xml:space="preserve">Tribulus terrestris </w:t>
      </w:r>
      <w:r w:rsidRPr="00076670">
        <w:rPr>
          <w:color w:val="000000"/>
          <w:sz w:val="20"/>
          <w:szCs w:val="20"/>
        </w:rPr>
        <w:t xml:space="preserve">were crushed in grinder. The crushed material was used for </w:t>
      </w:r>
      <w:r w:rsidRPr="00076670">
        <w:rPr>
          <w:color w:val="000000"/>
          <w:spacing w:val="-2"/>
          <w:sz w:val="20"/>
          <w:szCs w:val="20"/>
        </w:rPr>
        <w:t>extraction.</w:t>
      </w:r>
    </w:p>
    <w:p w14:paraId="10135030" w14:textId="77777777" w:rsidR="00D460AE" w:rsidRPr="00076670" w:rsidRDefault="00000000" w:rsidP="00076670">
      <w:pPr>
        <w:spacing w:after="0"/>
        <w:ind w:right="-29"/>
        <w:jc w:val="both"/>
        <w:rPr>
          <w:rFonts w:ascii="Times New Roman" w:hAnsi="Times New Roman" w:cs="Times New Roman"/>
          <w:color w:val="000000"/>
          <w:sz w:val="20"/>
          <w:szCs w:val="20"/>
        </w:rPr>
      </w:pPr>
      <w:r w:rsidRPr="00076670">
        <w:rPr>
          <w:rFonts w:ascii="Times New Roman" w:hAnsi="Times New Roman" w:cs="Times New Roman"/>
          <w:b/>
          <w:color w:val="000000"/>
          <w:sz w:val="20"/>
          <w:szCs w:val="20"/>
        </w:rPr>
        <w:t>Method:</w:t>
      </w:r>
      <w:r w:rsidRPr="00076670">
        <w:rPr>
          <w:rFonts w:ascii="Times New Roman" w:hAnsi="Times New Roman" w:cs="Times New Roman"/>
          <w:b/>
          <w:color w:val="000000"/>
          <w:spacing w:val="-1"/>
          <w:sz w:val="20"/>
          <w:szCs w:val="20"/>
        </w:rPr>
        <w:t xml:space="preserve"> </w:t>
      </w:r>
      <w:r w:rsidRPr="00076670">
        <w:rPr>
          <w:rFonts w:ascii="Times New Roman" w:hAnsi="Times New Roman" w:cs="Times New Roman"/>
          <w:color w:val="000000"/>
          <w:sz w:val="20"/>
          <w:szCs w:val="20"/>
        </w:rPr>
        <w:t>extraction</w:t>
      </w:r>
      <w:r w:rsidRPr="00076670">
        <w:rPr>
          <w:rFonts w:ascii="Times New Roman" w:hAnsi="Times New Roman" w:cs="Times New Roman"/>
          <w:color w:val="000000"/>
          <w:spacing w:val="-7"/>
          <w:sz w:val="20"/>
          <w:szCs w:val="20"/>
        </w:rPr>
        <w:t xml:space="preserve"> </w:t>
      </w:r>
      <w:r w:rsidRPr="00076670">
        <w:rPr>
          <w:rFonts w:ascii="Times New Roman" w:hAnsi="Times New Roman" w:cs="Times New Roman"/>
          <w:color w:val="000000"/>
          <w:sz w:val="20"/>
          <w:szCs w:val="20"/>
        </w:rPr>
        <w:t>(Soxhlet</w:t>
      </w:r>
      <w:r w:rsidRPr="00076670">
        <w:rPr>
          <w:rFonts w:ascii="Times New Roman" w:hAnsi="Times New Roman" w:cs="Times New Roman"/>
          <w:color w:val="000000"/>
          <w:spacing w:val="2"/>
          <w:sz w:val="20"/>
          <w:szCs w:val="20"/>
        </w:rPr>
        <w:t xml:space="preserve"> </w:t>
      </w:r>
      <w:r w:rsidRPr="00076670">
        <w:rPr>
          <w:rFonts w:ascii="Times New Roman" w:hAnsi="Times New Roman" w:cs="Times New Roman"/>
          <w:color w:val="000000"/>
          <w:spacing w:val="-2"/>
          <w:sz w:val="20"/>
          <w:szCs w:val="20"/>
        </w:rPr>
        <w:t>apparatus).</w:t>
      </w:r>
      <w:r w:rsidRPr="00076670">
        <w:rPr>
          <w:rFonts w:ascii="Times New Roman" w:hAnsi="Times New Roman" w:cs="Times New Roman"/>
          <w:color w:val="000000"/>
          <w:sz w:val="20"/>
          <w:szCs w:val="20"/>
        </w:rPr>
        <w:t xml:space="preserve"> </w:t>
      </w:r>
    </w:p>
    <w:p w14:paraId="4FF8052C" w14:textId="77777777" w:rsidR="00D460AE" w:rsidRPr="00076670" w:rsidRDefault="00000000" w:rsidP="00076670">
      <w:pPr>
        <w:spacing w:after="0"/>
        <w:ind w:right="-29"/>
        <w:jc w:val="both"/>
        <w:rPr>
          <w:rFonts w:ascii="Times New Roman" w:hAnsi="Times New Roman" w:cs="Times New Roman"/>
          <w:color w:val="000000"/>
          <w:sz w:val="20"/>
          <w:szCs w:val="20"/>
        </w:rPr>
      </w:pPr>
      <w:r w:rsidRPr="00076670">
        <w:rPr>
          <w:rFonts w:ascii="Times New Roman" w:hAnsi="Times New Roman" w:cs="Times New Roman"/>
          <w:b/>
          <w:color w:val="000000"/>
          <w:sz w:val="20"/>
          <w:szCs w:val="20"/>
        </w:rPr>
        <w:t xml:space="preserve">Procedure: </w:t>
      </w:r>
      <w:r w:rsidRPr="00076670">
        <w:rPr>
          <w:rFonts w:ascii="Times New Roman" w:hAnsi="Times New Roman" w:cs="Times New Roman"/>
          <w:color w:val="000000"/>
          <w:sz w:val="20"/>
          <w:szCs w:val="20"/>
        </w:rPr>
        <w:t xml:space="preserve">The coarse powder (25 g) of </w:t>
      </w:r>
      <w:r w:rsidRPr="00076670">
        <w:rPr>
          <w:rFonts w:ascii="Times New Roman" w:hAnsi="Times New Roman" w:cs="Times New Roman"/>
          <w:i/>
          <w:color w:val="000000"/>
          <w:sz w:val="20"/>
          <w:szCs w:val="20"/>
        </w:rPr>
        <w:t xml:space="preserve">Tribulus terrestris </w:t>
      </w:r>
      <w:r w:rsidRPr="00076670">
        <w:rPr>
          <w:rFonts w:ascii="Times New Roman" w:hAnsi="Times New Roman" w:cs="Times New Roman"/>
          <w:color w:val="000000"/>
          <w:sz w:val="20"/>
          <w:szCs w:val="20"/>
        </w:rPr>
        <w:t>was extracted successively with Distilled water 250 ml in a Soxhlet apparatus for 6 hrs</w:t>
      </w:r>
      <w:r w:rsidRPr="00076670">
        <w:rPr>
          <w:rFonts w:ascii="Times New Roman" w:hAnsi="Times New Roman" w:cs="Times New Roman"/>
          <w:color w:val="000000"/>
          <w:sz w:val="20"/>
          <w:szCs w:val="20"/>
        </w:rPr>
        <w:fldChar w:fldCharType="begin"/>
      </w:r>
      <w:r w:rsidRPr="00076670">
        <w:rPr>
          <w:rFonts w:ascii="Times New Roman" w:hAnsi="Times New Roman" w:cs="Times New Roman"/>
          <w:color w:val="000000"/>
          <w:sz w:val="20"/>
          <w:szCs w:val="20"/>
        </w:rPr>
        <w:instrText>ADDIN CSL_CITATION {"citationItems":[{"id":"ITEM-1","itemData":{"abstract":"Tribulus terrestris Linn is a herb of the family Zygophyllaceae, whose parts are known to be used as traditional herbal medicine to treat various aliments such as kidney infections. The methanol extract of Tribulus terrestris plant was screened for anti-inflammatory and antimicrobial activity. The methanolic extract showed a significant inhibition on the growth of Gram (+) and Gram (-) bacteria at concentrations of 200 g/mL and 400 g/mL, respectively. A dose dependent inhibition of rat paw volume by methanolic extract of T. terrestris in Carrageenan induced inflammation in rats was observed, which is comparable with standard drug, diclofenac sodium.","author":[{"dropping-particle":"","family":"Baburao","given":"B","non-dropping-particle":"","parse-names":false,"suffix":""},{"dropping-particle":"","family":"Rajyalakshmi","given":"G","non-dropping-particle":"","parse-names":false,"suffix":""},{"dropping-particle":"","family":"Venkatesham","given":"A","non-dropping-particle":"","parse-names":false,"suffix":""},{"dropping-particle":"","family":"Kiran","given":"G","non-dropping-particle":"","parse-names":false,"suffix":""},{"dropping-particle":"","family":"Sunder","given":"A Shyam","non-dropping-particle":"","parse-names":false,"suffix":""},{"dropping-particle":"","family":"Rao","given":"B Ganga","non-dropping-particle":"","parse-names":false,"suffix":""}],"container-title":"Int. J. Chem. Sci","id":"ITEM-1","issue":"3","issued":{"date-parts":[["2009"]]},"page":"1867-1872","title":"Anti-Inflammatory and Antimicrobial Activities of Methanolic Extract of Tribulus Terrestris Linn Plant","type":"article-journal","volume":"7"},"uris":["http://www.mendeley.com/documents/?uuid=b719b0c2-2323-4296-9afc-1975523e6db1"]}],"mendeley":{"formattedCitation":"(Baburao et al. 2009)","plainTextFormattedCitation":"(Baburao et al. 2009)","previouslyFormattedCitation":"(Baburao et al. 2009)"},"properties":{"noteIndex":0},"schema":"https://github.com/citation-style-language/schema/raw/master/csl-citation.json"}</w:instrText>
      </w:r>
      <w:r w:rsidRPr="00076670">
        <w:rPr>
          <w:rFonts w:ascii="Times New Roman" w:hAnsi="Times New Roman" w:cs="Times New Roman"/>
          <w:color w:val="000000"/>
          <w:sz w:val="20"/>
          <w:szCs w:val="20"/>
        </w:rPr>
        <w:fldChar w:fldCharType="separate"/>
      </w:r>
      <w:r w:rsidRPr="00076670">
        <w:rPr>
          <w:rFonts w:ascii="Times New Roman" w:hAnsi="Times New Roman" w:cs="Times New Roman"/>
          <w:noProof/>
          <w:color w:val="000000"/>
          <w:sz w:val="20"/>
          <w:szCs w:val="20"/>
        </w:rPr>
        <w:t>(Baburao et al. 2009)</w:t>
      </w:r>
      <w:r w:rsidRPr="00076670">
        <w:rPr>
          <w:rFonts w:ascii="Times New Roman" w:hAnsi="Times New Roman" w:cs="Times New Roman"/>
          <w:color w:val="000000"/>
          <w:sz w:val="20"/>
          <w:szCs w:val="20"/>
        </w:rPr>
        <w:fldChar w:fldCharType="end"/>
      </w:r>
      <w:r w:rsidRPr="00076670">
        <w:rPr>
          <w:rFonts w:ascii="Times New Roman" w:hAnsi="Times New Roman" w:cs="Times New Roman"/>
          <w:color w:val="000000"/>
          <w:sz w:val="20"/>
          <w:szCs w:val="20"/>
        </w:rPr>
        <w:t>.</w:t>
      </w:r>
    </w:p>
    <w:p w14:paraId="41325CD2" w14:textId="77777777" w:rsidR="00076670" w:rsidRDefault="00076670" w:rsidP="00076670">
      <w:pPr>
        <w:spacing w:after="0"/>
        <w:ind w:right="-29"/>
        <w:jc w:val="both"/>
        <w:rPr>
          <w:rFonts w:ascii="Times New Roman" w:hAnsi="Times New Roman" w:cs="Times New Roman"/>
          <w:b/>
          <w:color w:val="000000"/>
          <w:spacing w:val="-2"/>
          <w:sz w:val="20"/>
          <w:szCs w:val="20"/>
        </w:rPr>
      </w:pPr>
    </w:p>
    <w:p w14:paraId="78EB4A9D" w14:textId="434ECD9A" w:rsidR="00D460AE" w:rsidRPr="00076670" w:rsidRDefault="00000000" w:rsidP="00076670">
      <w:pPr>
        <w:spacing w:after="0"/>
        <w:ind w:right="-29"/>
        <w:jc w:val="both"/>
        <w:rPr>
          <w:rFonts w:ascii="Times New Roman" w:hAnsi="Times New Roman" w:cs="Times New Roman"/>
          <w:color w:val="000000"/>
          <w:sz w:val="20"/>
          <w:szCs w:val="20"/>
        </w:rPr>
      </w:pPr>
      <w:r w:rsidRPr="00076670">
        <w:rPr>
          <w:rFonts w:ascii="Times New Roman" w:hAnsi="Times New Roman" w:cs="Times New Roman"/>
          <w:b/>
          <w:color w:val="000000"/>
          <w:spacing w:val="-2"/>
          <w:sz w:val="20"/>
          <w:szCs w:val="20"/>
        </w:rPr>
        <w:t>Characterization</w:t>
      </w:r>
      <w:r w:rsidRPr="00076670">
        <w:rPr>
          <w:rFonts w:ascii="Times New Roman" w:hAnsi="Times New Roman" w:cs="Times New Roman"/>
          <w:b/>
          <w:color w:val="000000"/>
          <w:spacing w:val="-3"/>
          <w:sz w:val="20"/>
          <w:szCs w:val="20"/>
        </w:rPr>
        <w:t xml:space="preserve"> </w:t>
      </w:r>
      <w:r w:rsidRPr="00076670">
        <w:rPr>
          <w:rFonts w:ascii="Times New Roman" w:hAnsi="Times New Roman" w:cs="Times New Roman"/>
          <w:b/>
          <w:color w:val="000000"/>
          <w:spacing w:val="-2"/>
          <w:sz w:val="20"/>
          <w:szCs w:val="20"/>
        </w:rPr>
        <w:t>of extract</w:t>
      </w:r>
      <w:r w:rsidRPr="00076670">
        <w:rPr>
          <w:rFonts w:ascii="Times New Roman" w:hAnsi="Times New Roman" w:cs="Times New Roman"/>
          <w:b/>
          <w:color w:val="000000"/>
          <w:spacing w:val="-4"/>
          <w:sz w:val="20"/>
          <w:szCs w:val="20"/>
        </w:rPr>
        <w:t xml:space="preserve"> </w:t>
      </w:r>
      <w:r w:rsidRPr="00076670">
        <w:rPr>
          <w:rFonts w:ascii="Times New Roman" w:hAnsi="Times New Roman" w:cs="Times New Roman"/>
          <w:b/>
          <w:color w:val="000000"/>
          <w:spacing w:val="-2"/>
          <w:sz w:val="20"/>
          <w:szCs w:val="20"/>
        </w:rPr>
        <w:t>by</w:t>
      </w:r>
      <w:r w:rsidRPr="00076670">
        <w:rPr>
          <w:rFonts w:ascii="Times New Roman" w:hAnsi="Times New Roman" w:cs="Times New Roman"/>
          <w:b/>
          <w:color w:val="000000"/>
          <w:spacing w:val="-5"/>
          <w:sz w:val="20"/>
          <w:szCs w:val="20"/>
        </w:rPr>
        <w:t xml:space="preserve"> </w:t>
      </w:r>
      <w:r w:rsidRPr="00076670">
        <w:rPr>
          <w:rFonts w:ascii="Times New Roman" w:hAnsi="Times New Roman" w:cs="Times New Roman"/>
          <w:b/>
          <w:color w:val="000000"/>
          <w:spacing w:val="-2"/>
          <w:sz w:val="20"/>
          <w:szCs w:val="20"/>
        </w:rPr>
        <w:t>chemical</w:t>
      </w:r>
      <w:r w:rsidRPr="00076670">
        <w:rPr>
          <w:rFonts w:ascii="Times New Roman" w:hAnsi="Times New Roman" w:cs="Times New Roman"/>
          <w:b/>
          <w:color w:val="000000"/>
          <w:spacing w:val="-4"/>
          <w:sz w:val="20"/>
          <w:szCs w:val="20"/>
        </w:rPr>
        <w:t xml:space="preserve"> </w:t>
      </w:r>
      <w:r w:rsidRPr="00076670">
        <w:rPr>
          <w:rFonts w:ascii="Times New Roman" w:hAnsi="Times New Roman" w:cs="Times New Roman"/>
          <w:b/>
          <w:color w:val="000000"/>
          <w:spacing w:val="-2"/>
          <w:sz w:val="20"/>
          <w:szCs w:val="20"/>
        </w:rPr>
        <w:t>method</w:t>
      </w:r>
      <w:r w:rsidRPr="00076670">
        <w:rPr>
          <w:rFonts w:ascii="Times New Roman" w:hAnsi="Times New Roman" w:cs="Times New Roman"/>
          <w:color w:val="000000"/>
          <w:spacing w:val="-15"/>
          <w:sz w:val="20"/>
          <w:szCs w:val="20"/>
        </w:rPr>
        <w:t>:</w:t>
      </w:r>
    </w:p>
    <w:p w14:paraId="759A5CDF" w14:textId="77777777" w:rsidR="00D460AE" w:rsidRPr="00076670" w:rsidRDefault="00000000" w:rsidP="00076670">
      <w:pPr>
        <w:pStyle w:val="Heading5"/>
        <w:keepNext w:val="0"/>
        <w:keepLines w:val="0"/>
        <w:widowControl w:val="0"/>
        <w:numPr>
          <w:ilvl w:val="0"/>
          <w:numId w:val="1"/>
        </w:numPr>
        <w:tabs>
          <w:tab w:val="left" w:pos="1541"/>
        </w:tabs>
        <w:autoSpaceDE w:val="0"/>
        <w:autoSpaceDN w:val="0"/>
        <w:spacing w:before="0"/>
        <w:ind w:left="0" w:right="-29" w:firstLine="0"/>
        <w:jc w:val="both"/>
        <w:rPr>
          <w:rFonts w:ascii="Times New Roman" w:hAnsi="Times New Roman" w:cs="Times New Roman"/>
          <w:b/>
          <w:color w:val="000000"/>
          <w:sz w:val="20"/>
          <w:szCs w:val="20"/>
        </w:rPr>
      </w:pPr>
      <w:bookmarkStart w:id="2" w:name="1._Test_for_Steroids:"/>
      <w:bookmarkEnd w:id="2"/>
      <w:r w:rsidRPr="00076670">
        <w:rPr>
          <w:rFonts w:ascii="Times New Roman" w:hAnsi="Times New Roman" w:cs="Times New Roman"/>
          <w:b/>
          <w:color w:val="000000"/>
          <w:sz w:val="20"/>
          <w:szCs w:val="20"/>
        </w:rPr>
        <w:t>Test</w:t>
      </w:r>
      <w:r w:rsidRPr="00076670">
        <w:rPr>
          <w:rFonts w:ascii="Times New Roman" w:hAnsi="Times New Roman" w:cs="Times New Roman"/>
          <w:b/>
          <w:color w:val="000000"/>
          <w:spacing w:val="-3"/>
          <w:sz w:val="20"/>
          <w:szCs w:val="20"/>
        </w:rPr>
        <w:t xml:space="preserve"> </w:t>
      </w:r>
      <w:r w:rsidRPr="00076670">
        <w:rPr>
          <w:rFonts w:ascii="Times New Roman" w:hAnsi="Times New Roman" w:cs="Times New Roman"/>
          <w:b/>
          <w:color w:val="000000"/>
          <w:sz w:val="20"/>
          <w:szCs w:val="20"/>
        </w:rPr>
        <w:t>for</w:t>
      </w:r>
      <w:r w:rsidRPr="00076670">
        <w:rPr>
          <w:rFonts w:ascii="Times New Roman" w:hAnsi="Times New Roman" w:cs="Times New Roman"/>
          <w:b/>
          <w:color w:val="000000"/>
          <w:spacing w:val="-17"/>
          <w:sz w:val="20"/>
          <w:szCs w:val="20"/>
        </w:rPr>
        <w:t xml:space="preserve"> </w:t>
      </w:r>
      <w:r w:rsidRPr="00076670">
        <w:rPr>
          <w:rFonts w:ascii="Times New Roman" w:hAnsi="Times New Roman" w:cs="Times New Roman"/>
          <w:b/>
          <w:color w:val="000000"/>
          <w:spacing w:val="-2"/>
          <w:sz w:val="20"/>
          <w:szCs w:val="20"/>
        </w:rPr>
        <w:t>Steroids:</w:t>
      </w:r>
    </w:p>
    <w:p w14:paraId="3DE9D052" w14:textId="77777777" w:rsidR="00D460AE" w:rsidRPr="00076670" w:rsidRDefault="00000000" w:rsidP="00076670">
      <w:pPr>
        <w:pStyle w:val="BodyText"/>
        <w:spacing w:line="276" w:lineRule="auto"/>
        <w:ind w:right="-29"/>
        <w:jc w:val="both"/>
        <w:rPr>
          <w:color w:val="000000"/>
          <w:sz w:val="20"/>
          <w:szCs w:val="20"/>
        </w:rPr>
      </w:pPr>
      <w:r w:rsidRPr="00076670">
        <w:rPr>
          <w:color w:val="000000"/>
          <w:position w:val="2"/>
          <w:sz w:val="20"/>
          <w:szCs w:val="20"/>
        </w:rPr>
        <w:t>2ml of C</w:t>
      </w:r>
      <w:r w:rsidRPr="00076670">
        <w:rPr>
          <w:color w:val="000000"/>
          <w:position w:val="2"/>
          <w:sz w:val="20"/>
          <w:szCs w:val="20"/>
          <w:vertAlign w:val="subscript"/>
        </w:rPr>
        <w:t>4</w:t>
      </w:r>
      <w:r w:rsidRPr="00076670">
        <w:rPr>
          <w:color w:val="000000"/>
          <w:position w:val="2"/>
          <w:sz w:val="20"/>
          <w:szCs w:val="20"/>
        </w:rPr>
        <w:t>H</w:t>
      </w:r>
      <w:r w:rsidRPr="00076670">
        <w:rPr>
          <w:color w:val="000000"/>
          <w:position w:val="2"/>
          <w:sz w:val="20"/>
          <w:szCs w:val="20"/>
          <w:vertAlign w:val="subscript"/>
        </w:rPr>
        <w:t>6</w:t>
      </w:r>
      <w:r w:rsidRPr="00076670">
        <w:rPr>
          <w:color w:val="000000"/>
          <w:position w:val="2"/>
          <w:sz w:val="20"/>
          <w:szCs w:val="20"/>
        </w:rPr>
        <w:t>O</w:t>
      </w:r>
      <w:r w:rsidRPr="00076670">
        <w:rPr>
          <w:color w:val="000000"/>
          <w:position w:val="2"/>
          <w:sz w:val="20"/>
          <w:szCs w:val="20"/>
          <w:vertAlign w:val="subscript"/>
        </w:rPr>
        <w:t>3</w:t>
      </w:r>
      <w:r w:rsidRPr="00076670">
        <w:rPr>
          <w:color w:val="000000"/>
          <w:position w:val="2"/>
          <w:sz w:val="20"/>
          <w:szCs w:val="20"/>
        </w:rPr>
        <w:t xml:space="preserve"> (acetic anhydride) was mixed with the extract with 2ml H</w:t>
      </w:r>
      <w:r w:rsidRPr="00076670">
        <w:rPr>
          <w:color w:val="000000"/>
          <w:sz w:val="20"/>
          <w:szCs w:val="20"/>
        </w:rPr>
        <w:t>2</w:t>
      </w:r>
      <w:r w:rsidRPr="00076670">
        <w:rPr>
          <w:color w:val="000000"/>
          <w:position w:val="2"/>
          <w:sz w:val="20"/>
          <w:szCs w:val="20"/>
        </w:rPr>
        <w:t>SO</w:t>
      </w:r>
      <w:r w:rsidRPr="00076670">
        <w:rPr>
          <w:color w:val="000000"/>
          <w:sz w:val="20"/>
          <w:szCs w:val="20"/>
        </w:rPr>
        <w:t xml:space="preserve">4 </w:t>
      </w:r>
      <w:r w:rsidRPr="00076670">
        <w:rPr>
          <w:color w:val="000000"/>
          <w:position w:val="2"/>
          <w:sz w:val="20"/>
          <w:szCs w:val="20"/>
        </w:rPr>
        <w:t xml:space="preserve">the color change </w:t>
      </w:r>
      <w:r w:rsidRPr="00076670">
        <w:rPr>
          <w:color w:val="000000"/>
          <w:sz w:val="20"/>
          <w:szCs w:val="20"/>
        </w:rPr>
        <w:t>that was observed</w:t>
      </w:r>
      <w:r w:rsidRPr="00076670">
        <w:rPr>
          <w:color w:val="000000"/>
          <w:spacing w:val="40"/>
          <w:sz w:val="20"/>
          <w:szCs w:val="20"/>
        </w:rPr>
        <w:t xml:space="preserve"> </w:t>
      </w:r>
      <w:r w:rsidRPr="00076670">
        <w:rPr>
          <w:color w:val="000000"/>
          <w:sz w:val="20"/>
          <w:szCs w:val="20"/>
        </w:rPr>
        <w:t>was from violet to light greenish color.</w:t>
      </w:r>
    </w:p>
    <w:p w14:paraId="4DE9B6A0" w14:textId="77777777" w:rsidR="00D460AE" w:rsidRPr="00076670" w:rsidRDefault="00000000" w:rsidP="00076670">
      <w:pPr>
        <w:pStyle w:val="Heading5"/>
        <w:keepNext w:val="0"/>
        <w:keepLines w:val="0"/>
        <w:widowControl w:val="0"/>
        <w:numPr>
          <w:ilvl w:val="0"/>
          <w:numId w:val="1"/>
        </w:numPr>
        <w:tabs>
          <w:tab w:val="left" w:pos="1541"/>
        </w:tabs>
        <w:autoSpaceDE w:val="0"/>
        <w:autoSpaceDN w:val="0"/>
        <w:spacing w:before="0"/>
        <w:ind w:left="0" w:right="-29" w:firstLine="0"/>
        <w:jc w:val="both"/>
        <w:rPr>
          <w:rFonts w:ascii="Times New Roman" w:hAnsi="Times New Roman" w:cs="Times New Roman"/>
          <w:b/>
          <w:color w:val="000000"/>
          <w:sz w:val="20"/>
          <w:szCs w:val="20"/>
        </w:rPr>
      </w:pPr>
      <w:bookmarkStart w:id="3" w:name="2._Test_for_Terpenoids:_Salkowaski_Test:"/>
      <w:bookmarkEnd w:id="3"/>
      <w:r w:rsidRPr="00076670">
        <w:rPr>
          <w:rFonts w:ascii="Times New Roman" w:hAnsi="Times New Roman" w:cs="Times New Roman"/>
          <w:b/>
          <w:color w:val="000000"/>
          <w:sz w:val="20"/>
          <w:szCs w:val="20"/>
        </w:rPr>
        <w:t>Test</w:t>
      </w:r>
      <w:r w:rsidRPr="00076670">
        <w:rPr>
          <w:rFonts w:ascii="Times New Roman" w:hAnsi="Times New Roman" w:cs="Times New Roman"/>
          <w:b/>
          <w:color w:val="000000"/>
          <w:spacing w:val="-15"/>
          <w:sz w:val="20"/>
          <w:szCs w:val="20"/>
        </w:rPr>
        <w:t xml:space="preserve"> </w:t>
      </w:r>
      <w:r w:rsidRPr="00076670">
        <w:rPr>
          <w:rFonts w:ascii="Times New Roman" w:hAnsi="Times New Roman" w:cs="Times New Roman"/>
          <w:b/>
          <w:color w:val="000000"/>
          <w:sz w:val="20"/>
          <w:szCs w:val="20"/>
        </w:rPr>
        <w:t>for</w:t>
      </w:r>
      <w:r w:rsidRPr="00076670">
        <w:rPr>
          <w:rFonts w:ascii="Times New Roman" w:hAnsi="Times New Roman" w:cs="Times New Roman"/>
          <w:b/>
          <w:color w:val="000000"/>
          <w:spacing w:val="-15"/>
          <w:sz w:val="20"/>
          <w:szCs w:val="20"/>
        </w:rPr>
        <w:t xml:space="preserve"> </w:t>
      </w:r>
      <w:r w:rsidRPr="00076670">
        <w:rPr>
          <w:rFonts w:ascii="Times New Roman" w:hAnsi="Times New Roman" w:cs="Times New Roman"/>
          <w:b/>
          <w:color w:val="000000"/>
          <w:sz w:val="20"/>
          <w:szCs w:val="20"/>
        </w:rPr>
        <w:t>Terpenoids:</w:t>
      </w:r>
    </w:p>
    <w:p w14:paraId="1A0FF3FD" w14:textId="77777777" w:rsidR="00D460AE" w:rsidRPr="00076670" w:rsidRDefault="00000000" w:rsidP="00076670">
      <w:pPr>
        <w:pStyle w:val="Heading5"/>
        <w:keepNext w:val="0"/>
        <w:keepLines w:val="0"/>
        <w:widowControl w:val="0"/>
        <w:tabs>
          <w:tab w:val="left" w:pos="1541"/>
        </w:tabs>
        <w:autoSpaceDE w:val="0"/>
        <w:autoSpaceDN w:val="0"/>
        <w:spacing w:before="0"/>
        <w:ind w:right="-29"/>
        <w:jc w:val="both"/>
        <w:rPr>
          <w:rFonts w:ascii="Times New Roman" w:hAnsi="Times New Roman" w:cs="Times New Roman"/>
          <w:color w:val="000000"/>
          <w:sz w:val="20"/>
          <w:szCs w:val="20"/>
        </w:rPr>
      </w:pPr>
      <w:r w:rsidRPr="00076670">
        <w:rPr>
          <w:rFonts w:ascii="Times New Roman" w:hAnsi="Times New Roman" w:cs="Times New Roman"/>
          <w:color w:val="000000"/>
          <w:sz w:val="20"/>
          <w:szCs w:val="20"/>
        </w:rPr>
        <w:t xml:space="preserve"> Salkowaski Test:</w:t>
      </w:r>
    </w:p>
    <w:p w14:paraId="710FFEE8" w14:textId="77777777"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t>5ml of each extract was mixed in 2ml of chloroform, concentrated Sulphuric acid (3ml)</w:t>
      </w:r>
      <w:r w:rsidRPr="00076670">
        <w:rPr>
          <w:color w:val="000000"/>
          <w:spacing w:val="40"/>
          <w:sz w:val="20"/>
          <w:szCs w:val="20"/>
        </w:rPr>
        <w:t xml:space="preserve"> </w:t>
      </w:r>
      <w:r w:rsidRPr="00076670">
        <w:rPr>
          <w:color w:val="000000"/>
          <w:sz w:val="20"/>
          <w:szCs w:val="20"/>
        </w:rPr>
        <w:t>was cautiously added to form a layer. The reddish brown color pattern of the interface</w:t>
      </w:r>
      <w:r w:rsidRPr="00076670">
        <w:rPr>
          <w:color w:val="000000"/>
          <w:spacing w:val="40"/>
          <w:sz w:val="20"/>
          <w:szCs w:val="20"/>
        </w:rPr>
        <w:t xml:space="preserve"> </w:t>
      </w:r>
      <w:r w:rsidRPr="00076670">
        <w:rPr>
          <w:color w:val="000000"/>
          <w:sz w:val="20"/>
          <w:szCs w:val="20"/>
        </w:rPr>
        <w:t>was obtained which shows the positive result for terpenoids.</w:t>
      </w:r>
    </w:p>
    <w:p w14:paraId="0DB30DDC" w14:textId="77777777" w:rsidR="00D460AE" w:rsidRPr="00076670" w:rsidRDefault="00000000" w:rsidP="00076670">
      <w:pPr>
        <w:pStyle w:val="Heading5"/>
        <w:keepNext w:val="0"/>
        <w:keepLines w:val="0"/>
        <w:widowControl w:val="0"/>
        <w:numPr>
          <w:ilvl w:val="0"/>
          <w:numId w:val="1"/>
        </w:numPr>
        <w:tabs>
          <w:tab w:val="left" w:pos="1425"/>
        </w:tabs>
        <w:autoSpaceDE w:val="0"/>
        <w:autoSpaceDN w:val="0"/>
        <w:spacing w:before="0"/>
        <w:ind w:left="0" w:right="-29" w:firstLine="0"/>
        <w:jc w:val="both"/>
        <w:rPr>
          <w:rFonts w:ascii="Times New Roman" w:hAnsi="Times New Roman" w:cs="Times New Roman"/>
          <w:b/>
          <w:color w:val="000000"/>
          <w:sz w:val="20"/>
          <w:szCs w:val="20"/>
        </w:rPr>
      </w:pPr>
      <w:bookmarkStart w:id="4" w:name="3._Test_for_Tannins:"/>
      <w:bookmarkEnd w:id="4"/>
      <w:r w:rsidRPr="00076670">
        <w:rPr>
          <w:rFonts w:ascii="Times New Roman" w:hAnsi="Times New Roman" w:cs="Times New Roman"/>
          <w:b/>
          <w:color w:val="000000"/>
          <w:sz w:val="20"/>
          <w:szCs w:val="20"/>
        </w:rPr>
        <w:t>Test</w:t>
      </w:r>
      <w:r w:rsidRPr="00076670">
        <w:rPr>
          <w:rFonts w:ascii="Times New Roman" w:hAnsi="Times New Roman" w:cs="Times New Roman"/>
          <w:b/>
          <w:color w:val="000000"/>
          <w:spacing w:val="-3"/>
          <w:sz w:val="20"/>
          <w:szCs w:val="20"/>
        </w:rPr>
        <w:t xml:space="preserve"> </w:t>
      </w:r>
      <w:r w:rsidRPr="00076670">
        <w:rPr>
          <w:rFonts w:ascii="Times New Roman" w:hAnsi="Times New Roman" w:cs="Times New Roman"/>
          <w:b/>
          <w:color w:val="000000"/>
          <w:sz w:val="20"/>
          <w:szCs w:val="20"/>
        </w:rPr>
        <w:t>for</w:t>
      </w:r>
      <w:r w:rsidRPr="00076670">
        <w:rPr>
          <w:rFonts w:ascii="Times New Roman" w:hAnsi="Times New Roman" w:cs="Times New Roman"/>
          <w:b/>
          <w:color w:val="000000"/>
          <w:spacing w:val="-17"/>
          <w:sz w:val="20"/>
          <w:szCs w:val="20"/>
        </w:rPr>
        <w:t xml:space="preserve"> </w:t>
      </w:r>
      <w:r w:rsidRPr="00076670">
        <w:rPr>
          <w:rFonts w:ascii="Times New Roman" w:hAnsi="Times New Roman" w:cs="Times New Roman"/>
          <w:b/>
          <w:color w:val="000000"/>
          <w:spacing w:val="-2"/>
          <w:sz w:val="20"/>
          <w:szCs w:val="20"/>
        </w:rPr>
        <w:t>Tannins:</w:t>
      </w:r>
    </w:p>
    <w:p w14:paraId="292762E7" w14:textId="77777777" w:rsidR="00D460AE" w:rsidRPr="00076670" w:rsidRDefault="00000000" w:rsidP="00076670">
      <w:pPr>
        <w:pStyle w:val="BodyText"/>
        <w:tabs>
          <w:tab w:val="left" w:pos="2592"/>
        </w:tabs>
        <w:spacing w:line="276" w:lineRule="auto"/>
        <w:ind w:right="-29"/>
        <w:jc w:val="both"/>
        <w:rPr>
          <w:color w:val="000000"/>
          <w:sz w:val="20"/>
          <w:szCs w:val="20"/>
        </w:rPr>
      </w:pPr>
      <w:r w:rsidRPr="00076670">
        <w:rPr>
          <w:color w:val="000000"/>
          <w:sz w:val="20"/>
          <w:szCs w:val="20"/>
        </w:rPr>
        <w:t xml:space="preserve">Ferric test: </w:t>
      </w:r>
      <w:r w:rsidRPr="00076670">
        <w:rPr>
          <w:color w:val="000000"/>
          <w:sz w:val="20"/>
          <w:szCs w:val="20"/>
        </w:rPr>
        <w:tab/>
      </w:r>
    </w:p>
    <w:p w14:paraId="6709F150" w14:textId="77777777"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t>The sample was initially moistened with water. Then surplus amount of water was removed with the help of filter</w:t>
      </w:r>
      <w:r w:rsidRPr="00076670">
        <w:rPr>
          <w:color w:val="000000"/>
          <w:spacing w:val="33"/>
          <w:sz w:val="20"/>
          <w:szCs w:val="20"/>
        </w:rPr>
        <w:t xml:space="preserve"> </w:t>
      </w:r>
      <w:r w:rsidRPr="00076670">
        <w:rPr>
          <w:color w:val="000000"/>
          <w:sz w:val="20"/>
          <w:szCs w:val="20"/>
        </w:rPr>
        <w:t>paper. Then,</w:t>
      </w:r>
      <w:r w:rsidRPr="00076670">
        <w:rPr>
          <w:color w:val="000000"/>
          <w:spacing w:val="34"/>
          <w:sz w:val="20"/>
          <w:szCs w:val="20"/>
        </w:rPr>
        <w:t xml:space="preserve"> </w:t>
      </w:r>
      <w:r w:rsidRPr="00076670">
        <w:rPr>
          <w:color w:val="000000"/>
          <w:sz w:val="20"/>
          <w:szCs w:val="20"/>
        </w:rPr>
        <w:t>three</w:t>
      </w:r>
      <w:r w:rsidRPr="00076670">
        <w:rPr>
          <w:color w:val="000000"/>
          <w:spacing w:val="27"/>
          <w:sz w:val="20"/>
          <w:szCs w:val="20"/>
        </w:rPr>
        <w:t xml:space="preserve"> </w:t>
      </w:r>
      <w:r w:rsidRPr="00076670">
        <w:rPr>
          <w:color w:val="000000"/>
          <w:sz w:val="20"/>
          <w:szCs w:val="20"/>
        </w:rPr>
        <w:t>drops of ferric</w:t>
      </w:r>
      <w:r w:rsidRPr="00076670">
        <w:rPr>
          <w:color w:val="000000"/>
          <w:spacing w:val="28"/>
          <w:sz w:val="20"/>
          <w:szCs w:val="20"/>
        </w:rPr>
        <w:t xml:space="preserve"> </w:t>
      </w:r>
      <w:r w:rsidRPr="00076670">
        <w:rPr>
          <w:color w:val="000000"/>
          <w:sz w:val="20"/>
          <w:szCs w:val="20"/>
        </w:rPr>
        <w:t>reagent</w:t>
      </w:r>
      <w:r w:rsidRPr="00076670">
        <w:rPr>
          <w:color w:val="000000"/>
          <w:spacing w:val="40"/>
          <w:sz w:val="20"/>
          <w:szCs w:val="20"/>
        </w:rPr>
        <w:t xml:space="preserve"> </w:t>
      </w:r>
      <w:r w:rsidRPr="00076670">
        <w:rPr>
          <w:color w:val="000000"/>
          <w:sz w:val="20"/>
          <w:szCs w:val="20"/>
        </w:rPr>
        <w:t xml:space="preserve">were </w:t>
      </w:r>
      <w:r w:rsidRPr="00076670">
        <w:rPr>
          <w:color w:val="000000"/>
          <w:sz w:val="20"/>
          <w:szCs w:val="20"/>
        </w:rPr>
        <w:t>further</w:t>
      </w:r>
      <w:r w:rsidRPr="00076670">
        <w:rPr>
          <w:color w:val="000000"/>
          <w:spacing w:val="26"/>
          <w:sz w:val="20"/>
          <w:szCs w:val="20"/>
        </w:rPr>
        <w:t xml:space="preserve"> </w:t>
      </w:r>
      <w:r w:rsidRPr="00076670">
        <w:rPr>
          <w:color w:val="000000"/>
          <w:sz w:val="20"/>
          <w:szCs w:val="20"/>
        </w:rPr>
        <w:t>added to the</w:t>
      </w:r>
      <w:r w:rsidRPr="00076670">
        <w:rPr>
          <w:color w:val="000000"/>
          <w:spacing w:val="28"/>
          <w:sz w:val="20"/>
          <w:szCs w:val="20"/>
        </w:rPr>
        <w:t xml:space="preserve"> </w:t>
      </w:r>
      <w:r w:rsidRPr="00076670">
        <w:rPr>
          <w:color w:val="000000"/>
          <w:sz w:val="20"/>
          <w:szCs w:val="20"/>
        </w:rPr>
        <w:t>sample.</w:t>
      </w:r>
      <w:r w:rsidRPr="00076670">
        <w:rPr>
          <w:color w:val="000000"/>
          <w:spacing w:val="34"/>
          <w:sz w:val="20"/>
          <w:szCs w:val="20"/>
        </w:rPr>
        <w:t xml:space="preserve"> </w:t>
      </w:r>
      <w:r w:rsidRPr="00076670">
        <w:rPr>
          <w:color w:val="000000"/>
          <w:sz w:val="20"/>
          <w:szCs w:val="20"/>
        </w:rPr>
        <w:t>A grey or black color formation indicates the presence of tannins.</w:t>
      </w:r>
    </w:p>
    <w:p w14:paraId="037B6927" w14:textId="77777777" w:rsidR="00D460AE" w:rsidRPr="00076670" w:rsidRDefault="00000000" w:rsidP="00076670">
      <w:pPr>
        <w:pStyle w:val="Heading5"/>
        <w:keepNext w:val="0"/>
        <w:keepLines w:val="0"/>
        <w:widowControl w:val="0"/>
        <w:numPr>
          <w:ilvl w:val="0"/>
          <w:numId w:val="1"/>
        </w:numPr>
        <w:tabs>
          <w:tab w:val="left" w:pos="1468"/>
        </w:tabs>
        <w:autoSpaceDE w:val="0"/>
        <w:autoSpaceDN w:val="0"/>
        <w:spacing w:before="0"/>
        <w:ind w:left="0" w:right="-29" w:firstLine="0"/>
        <w:jc w:val="both"/>
        <w:rPr>
          <w:rFonts w:ascii="Times New Roman" w:hAnsi="Times New Roman" w:cs="Times New Roman"/>
          <w:b/>
          <w:color w:val="000000"/>
          <w:sz w:val="20"/>
          <w:szCs w:val="20"/>
        </w:rPr>
      </w:pPr>
      <w:bookmarkStart w:id="5" w:name="4._Test_for_Alkaloids:"/>
      <w:bookmarkEnd w:id="5"/>
      <w:r w:rsidRPr="00076670">
        <w:rPr>
          <w:rFonts w:ascii="Times New Roman" w:hAnsi="Times New Roman" w:cs="Times New Roman"/>
          <w:b/>
          <w:color w:val="000000"/>
          <w:sz w:val="20"/>
          <w:szCs w:val="20"/>
        </w:rPr>
        <w:t>Test</w:t>
      </w:r>
      <w:r w:rsidRPr="00076670">
        <w:rPr>
          <w:rFonts w:ascii="Times New Roman" w:hAnsi="Times New Roman" w:cs="Times New Roman"/>
          <w:b/>
          <w:color w:val="000000"/>
          <w:spacing w:val="-1"/>
          <w:sz w:val="20"/>
          <w:szCs w:val="20"/>
        </w:rPr>
        <w:t xml:space="preserve"> </w:t>
      </w:r>
      <w:r w:rsidRPr="00076670">
        <w:rPr>
          <w:rFonts w:ascii="Times New Roman" w:hAnsi="Times New Roman" w:cs="Times New Roman"/>
          <w:b/>
          <w:color w:val="000000"/>
          <w:sz w:val="20"/>
          <w:szCs w:val="20"/>
        </w:rPr>
        <w:t>for</w:t>
      </w:r>
      <w:r w:rsidRPr="00076670">
        <w:rPr>
          <w:rFonts w:ascii="Times New Roman" w:hAnsi="Times New Roman" w:cs="Times New Roman"/>
          <w:b/>
          <w:color w:val="000000"/>
          <w:spacing w:val="-14"/>
          <w:sz w:val="20"/>
          <w:szCs w:val="20"/>
        </w:rPr>
        <w:t xml:space="preserve"> </w:t>
      </w:r>
      <w:r w:rsidRPr="00076670">
        <w:rPr>
          <w:rFonts w:ascii="Times New Roman" w:hAnsi="Times New Roman" w:cs="Times New Roman"/>
          <w:b/>
          <w:color w:val="000000"/>
          <w:spacing w:val="-2"/>
          <w:sz w:val="20"/>
          <w:szCs w:val="20"/>
        </w:rPr>
        <w:t>Alkaloids:</w:t>
      </w:r>
    </w:p>
    <w:p w14:paraId="307D9D8A" w14:textId="77777777"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t>Wagner’s Test:</w:t>
      </w:r>
    </w:p>
    <w:p w14:paraId="5E117C97" w14:textId="77777777"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t xml:space="preserve"> Few ml of each of sample solution were taken and Wagner’s reagent was added and then it resulted in the formation of reddish brown </w:t>
      </w:r>
      <w:r w:rsidRPr="00076670">
        <w:rPr>
          <w:color w:val="000000"/>
          <w:spacing w:val="-2"/>
          <w:sz w:val="20"/>
          <w:szCs w:val="20"/>
        </w:rPr>
        <w:t>precipitate.</w:t>
      </w:r>
    </w:p>
    <w:p w14:paraId="5FE5954E" w14:textId="77777777" w:rsidR="00D460AE" w:rsidRPr="00076670" w:rsidRDefault="00000000" w:rsidP="00076670">
      <w:pPr>
        <w:pStyle w:val="Heading5"/>
        <w:keepNext w:val="0"/>
        <w:keepLines w:val="0"/>
        <w:widowControl w:val="0"/>
        <w:numPr>
          <w:ilvl w:val="0"/>
          <w:numId w:val="1"/>
        </w:numPr>
        <w:tabs>
          <w:tab w:val="left" w:pos="1541"/>
        </w:tabs>
        <w:autoSpaceDE w:val="0"/>
        <w:autoSpaceDN w:val="0"/>
        <w:spacing w:before="0"/>
        <w:ind w:left="0" w:right="-29" w:firstLine="0"/>
        <w:jc w:val="both"/>
        <w:rPr>
          <w:rFonts w:ascii="Times New Roman" w:hAnsi="Times New Roman" w:cs="Times New Roman"/>
          <w:b/>
          <w:color w:val="000000"/>
          <w:sz w:val="20"/>
          <w:szCs w:val="20"/>
        </w:rPr>
      </w:pPr>
      <w:bookmarkStart w:id="6" w:name="5._Test_for_Saponins:"/>
      <w:bookmarkEnd w:id="6"/>
      <w:r w:rsidRPr="00076670">
        <w:rPr>
          <w:rFonts w:ascii="Times New Roman" w:hAnsi="Times New Roman" w:cs="Times New Roman"/>
          <w:b/>
          <w:color w:val="000000"/>
          <w:sz w:val="20"/>
          <w:szCs w:val="20"/>
        </w:rPr>
        <w:t>Test</w:t>
      </w:r>
      <w:r w:rsidRPr="00076670">
        <w:rPr>
          <w:rFonts w:ascii="Times New Roman" w:hAnsi="Times New Roman" w:cs="Times New Roman"/>
          <w:b/>
          <w:color w:val="000000"/>
          <w:spacing w:val="-1"/>
          <w:sz w:val="20"/>
          <w:szCs w:val="20"/>
        </w:rPr>
        <w:t xml:space="preserve"> </w:t>
      </w:r>
      <w:r w:rsidRPr="00076670">
        <w:rPr>
          <w:rFonts w:ascii="Times New Roman" w:hAnsi="Times New Roman" w:cs="Times New Roman"/>
          <w:b/>
          <w:color w:val="000000"/>
          <w:sz w:val="20"/>
          <w:szCs w:val="20"/>
        </w:rPr>
        <w:t>for</w:t>
      </w:r>
      <w:r w:rsidRPr="00076670">
        <w:rPr>
          <w:rFonts w:ascii="Times New Roman" w:hAnsi="Times New Roman" w:cs="Times New Roman"/>
          <w:b/>
          <w:color w:val="000000"/>
          <w:spacing w:val="-14"/>
          <w:sz w:val="20"/>
          <w:szCs w:val="20"/>
        </w:rPr>
        <w:t xml:space="preserve"> </w:t>
      </w:r>
      <w:r w:rsidRPr="00076670">
        <w:rPr>
          <w:rFonts w:ascii="Times New Roman" w:hAnsi="Times New Roman" w:cs="Times New Roman"/>
          <w:b/>
          <w:color w:val="000000"/>
          <w:spacing w:val="-2"/>
          <w:sz w:val="20"/>
          <w:szCs w:val="20"/>
        </w:rPr>
        <w:t>Saponins:</w:t>
      </w:r>
    </w:p>
    <w:p w14:paraId="059DB31F" w14:textId="77777777" w:rsidR="00D460AE" w:rsidRPr="00076670" w:rsidRDefault="00000000" w:rsidP="00076670">
      <w:pPr>
        <w:pStyle w:val="BodyText"/>
        <w:spacing w:line="276" w:lineRule="auto"/>
        <w:ind w:right="-29"/>
        <w:jc w:val="both"/>
        <w:rPr>
          <w:color w:val="000000"/>
          <w:spacing w:val="-2"/>
          <w:sz w:val="20"/>
          <w:szCs w:val="20"/>
        </w:rPr>
      </w:pPr>
      <w:r w:rsidRPr="00076670">
        <w:rPr>
          <w:color w:val="000000"/>
          <w:sz w:val="20"/>
          <w:szCs w:val="20"/>
        </w:rPr>
        <w:t>Plant</w:t>
      </w:r>
      <w:r w:rsidRPr="00076670">
        <w:rPr>
          <w:color w:val="000000"/>
          <w:spacing w:val="21"/>
          <w:sz w:val="20"/>
          <w:szCs w:val="20"/>
        </w:rPr>
        <w:t xml:space="preserve"> </w:t>
      </w:r>
      <w:r w:rsidRPr="00076670">
        <w:rPr>
          <w:color w:val="000000"/>
          <w:sz w:val="20"/>
          <w:szCs w:val="20"/>
        </w:rPr>
        <w:t>extract</w:t>
      </w:r>
      <w:r w:rsidRPr="00076670">
        <w:rPr>
          <w:color w:val="000000"/>
          <w:spacing w:val="14"/>
          <w:sz w:val="20"/>
          <w:szCs w:val="20"/>
        </w:rPr>
        <w:t xml:space="preserve"> </w:t>
      </w:r>
      <w:r w:rsidRPr="00076670">
        <w:rPr>
          <w:color w:val="000000"/>
          <w:sz w:val="20"/>
          <w:szCs w:val="20"/>
        </w:rPr>
        <w:t>was</w:t>
      </w:r>
      <w:r w:rsidRPr="00076670">
        <w:rPr>
          <w:color w:val="000000"/>
          <w:spacing w:val="6"/>
          <w:sz w:val="20"/>
          <w:szCs w:val="20"/>
        </w:rPr>
        <w:t xml:space="preserve"> </w:t>
      </w:r>
      <w:r w:rsidRPr="00076670">
        <w:rPr>
          <w:color w:val="000000"/>
          <w:sz w:val="20"/>
          <w:szCs w:val="20"/>
        </w:rPr>
        <w:t>mixed</w:t>
      </w:r>
      <w:r w:rsidRPr="00076670">
        <w:rPr>
          <w:color w:val="000000"/>
          <w:spacing w:val="9"/>
          <w:sz w:val="20"/>
          <w:szCs w:val="20"/>
        </w:rPr>
        <w:t xml:space="preserve"> </w:t>
      </w:r>
      <w:r w:rsidRPr="00076670">
        <w:rPr>
          <w:color w:val="000000"/>
          <w:sz w:val="20"/>
          <w:szCs w:val="20"/>
        </w:rPr>
        <w:t>with</w:t>
      </w:r>
      <w:r w:rsidRPr="00076670">
        <w:rPr>
          <w:color w:val="000000"/>
          <w:spacing w:val="4"/>
          <w:sz w:val="20"/>
          <w:szCs w:val="20"/>
        </w:rPr>
        <w:t xml:space="preserve"> </w:t>
      </w:r>
      <w:r w:rsidRPr="00076670">
        <w:rPr>
          <w:color w:val="000000"/>
          <w:sz w:val="20"/>
          <w:szCs w:val="20"/>
        </w:rPr>
        <w:t>5</w:t>
      </w:r>
      <w:r w:rsidRPr="00076670">
        <w:rPr>
          <w:color w:val="000000"/>
          <w:spacing w:val="9"/>
          <w:sz w:val="20"/>
          <w:szCs w:val="20"/>
        </w:rPr>
        <w:t xml:space="preserve"> </w:t>
      </w:r>
      <w:r w:rsidRPr="00076670">
        <w:rPr>
          <w:color w:val="000000"/>
          <w:sz w:val="20"/>
          <w:szCs w:val="20"/>
        </w:rPr>
        <w:t>ml</w:t>
      </w:r>
      <w:r w:rsidRPr="00076670">
        <w:rPr>
          <w:color w:val="000000"/>
          <w:spacing w:val="5"/>
          <w:sz w:val="20"/>
          <w:szCs w:val="20"/>
        </w:rPr>
        <w:t xml:space="preserve"> </w:t>
      </w:r>
      <w:r w:rsidRPr="00076670">
        <w:rPr>
          <w:color w:val="000000"/>
          <w:sz w:val="20"/>
          <w:szCs w:val="20"/>
        </w:rPr>
        <w:t>of</w:t>
      </w:r>
      <w:r w:rsidRPr="00076670">
        <w:rPr>
          <w:color w:val="000000"/>
          <w:spacing w:val="-3"/>
          <w:sz w:val="20"/>
          <w:szCs w:val="20"/>
        </w:rPr>
        <w:t xml:space="preserve"> </w:t>
      </w:r>
      <w:r w:rsidRPr="00076670">
        <w:rPr>
          <w:color w:val="000000"/>
          <w:sz w:val="20"/>
          <w:szCs w:val="20"/>
        </w:rPr>
        <w:t>distilled</w:t>
      </w:r>
      <w:r w:rsidRPr="00076670">
        <w:rPr>
          <w:color w:val="000000"/>
          <w:spacing w:val="9"/>
          <w:sz w:val="20"/>
          <w:szCs w:val="20"/>
        </w:rPr>
        <w:t xml:space="preserve"> </w:t>
      </w:r>
      <w:r w:rsidRPr="00076670">
        <w:rPr>
          <w:color w:val="000000"/>
          <w:sz w:val="20"/>
          <w:szCs w:val="20"/>
        </w:rPr>
        <w:t>water</w:t>
      </w:r>
      <w:r w:rsidRPr="00076670">
        <w:rPr>
          <w:color w:val="000000"/>
          <w:spacing w:val="15"/>
          <w:sz w:val="20"/>
          <w:szCs w:val="20"/>
        </w:rPr>
        <w:t xml:space="preserve"> </w:t>
      </w:r>
      <w:r w:rsidRPr="00076670">
        <w:rPr>
          <w:color w:val="000000"/>
          <w:sz w:val="20"/>
          <w:szCs w:val="20"/>
        </w:rPr>
        <w:t>in</w:t>
      </w:r>
      <w:r w:rsidRPr="00076670">
        <w:rPr>
          <w:color w:val="000000"/>
          <w:spacing w:val="4"/>
          <w:sz w:val="20"/>
          <w:szCs w:val="20"/>
        </w:rPr>
        <w:t xml:space="preserve"> </w:t>
      </w:r>
      <w:r w:rsidRPr="00076670">
        <w:rPr>
          <w:color w:val="000000"/>
          <w:sz w:val="20"/>
          <w:szCs w:val="20"/>
        </w:rPr>
        <w:t>a</w:t>
      </w:r>
      <w:r w:rsidRPr="00076670">
        <w:rPr>
          <w:color w:val="000000"/>
          <w:spacing w:val="8"/>
          <w:sz w:val="20"/>
          <w:szCs w:val="20"/>
        </w:rPr>
        <w:t xml:space="preserve"> </w:t>
      </w:r>
      <w:r w:rsidRPr="00076670">
        <w:rPr>
          <w:color w:val="000000"/>
          <w:sz w:val="20"/>
          <w:szCs w:val="20"/>
        </w:rPr>
        <w:t>test</w:t>
      </w:r>
      <w:r w:rsidRPr="00076670">
        <w:rPr>
          <w:color w:val="000000"/>
          <w:spacing w:val="10"/>
          <w:sz w:val="20"/>
          <w:szCs w:val="20"/>
        </w:rPr>
        <w:t xml:space="preserve"> </w:t>
      </w:r>
      <w:r w:rsidRPr="00076670">
        <w:rPr>
          <w:color w:val="000000"/>
          <w:sz w:val="20"/>
          <w:szCs w:val="20"/>
        </w:rPr>
        <w:t>tube</w:t>
      </w:r>
      <w:r w:rsidRPr="00076670">
        <w:rPr>
          <w:color w:val="000000"/>
          <w:spacing w:val="13"/>
          <w:sz w:val="20"/>
          <w:szCs w:val="20"/>
        </w:rPr>
        <w:t xml:space="preserve"> </w:t>
      </w:r>
      <w:r w:rsidRPr="00076670">
        <w:rPr>
          <w:color w:val="000000"/>
          <w:sz w:val="20"/>
          <w:szCs w:val="20"/>
        </w:rPr>
        <w:t>and</w:t>
      </w:r>
      <w:r w:rsidRPr="00076670">
        <w:rPr>
          <w:color w:val="000000"/>
          <w:spacing w:val="17"/>
          <w:sz w:val="20"/>
          <w:szCs w:val="20"/>
        </w:rPr>
        <w:t xml:space="preserve"> </w:t>
      </w:r>
      <w:r w:rsidRPr="00076670">
        <w:rPr>
          <w:color w:val="000000"/>
          <w:sz w:val="20"/>
          <w:szCs w:val="20"/>
        </w:rPr>
        <w:t>it</w:t>
      </w:r>
      <w:r w:rsidRPr="00076670">
        <w:rPr>
          <w:color w:val="000000"/>
          <w:spacing w:val="23"/>
          <w:sz w:val="20"/>
          <w:szCs w:val="20"/>
        </w:rPr>
        <w:t xml:space="preserve"> </w:t>
      </w:r>
      <w:r w:rsidRPr="00076670">
        <w:rPr>
          <w:color w:val="000000"/>
          <w:sz w:val="20"/>
          <w:szCs w:val="20"/>
        </w:rPr>
        <w:t>was</w:t>
      </w:r>
      <w:r w:rsidRPr="00076670">
        <w:rPr>
          <w:color w:val="000000"/>
          <w:spacing w:val="7"/>
          <w:sz w:val="20"/>
          <w:szCs w:val="20"/>
        </w:rPr>
        <w:t xml:space="preserve"> </w:t>
      </w:r>
      <w:r w:rsidRPr="00076670">
        <w:rPr>
          <w:color w:val="000000"/>
          <w:spacing w:val="-2"/>
          <w:sz w:val="20"/>
          <w:szCs w:val="20"/>
        </w:rPr>
        <w:t>mixed</w:t>
      </w:r>
    </w:p>
    <w:p w14:paraId="0DED6150" w14:textId="77777777" w:rsidR="00D460AE" w:rsidRPr="00076670" w:rsidRDefault="00000000" w:rsidP="00076670">
      <w:pPr>
        <w:pStyle w:val="BodyText"/>
        <w:tabs>
          <w:tab w:val="left" w:pos="3403"/>
        </w:tabs>
        <w:spacing w:line="276" w:lineRule="auto"/>
        <w:ind w:right="-29"/>
        <w:jc w:val="both"/>
        <w:rPr>
          <w:color w:val="000000"/>
          <w:sz w:val="20"/>
          <w:szCs w:val="20"/>
        </w:rPr>
      </w:pPr>
      <w:r w:rsidRPr="00076670">
        <w:rPr>
          <w:color w:val="000000"/>
          <w:sz w:val="20"/>
          <w:szCs w:val="20"/>
        </w:rPr>
        <w:t>Vigorously.</w:t>
      </w:r>
      <w:r w:rsidRPr="00076670">
        <w:rPr>
          <w:color w:val="000000"/>
          <w:spacing w:val="80"/>
          <w:sz w:val="20"/>
          <w:szCs w:val="20"/>
        </w:rPr>
        <w:t xml:space="preserve"> </w:t>
      </w:r>
      <w:r w:rsidRPr="00076670">
        <w:rPr>
          <w:color w:val="000000"/>
          <w:sz w:val="20"/>
          <w:szCs w:val="20"/>
        </w:rPr>
        <w:t>The frothing</w:t>
      </w:r>
      <w:r w:rsidRPr="00076670">
        <w:rPr>
          <w:color w:val="000000"/>
          <w:spacing w:val="80"/>
          <w:w w:val="150"/>
          <w:sz w:val="20"/>
          <w:szCs w:val="20"/>
        </w:rPr>
        <w:t xml:space="preserve"> </w:t>
      </w:r>
      <w:r w:rsidRPr="00076670">
        <w:rPr>
          <w:color w:val="000000"/>
          <w:sz w:val="20"/>
          <w:szCs w:val="20"/>
        </w:rPr>
        <w:t>was</w:t>
      </w:r>
      <w:r w:rsidRPr="00076670">
        <w:rPr>
          <w:color w:val="000000"/>
          <w:spacing w:val="80"/>
          <w:w w:val="150"/>
          <w:sz w:val="20"/>
          <w:szCs w:val="20"/>
        </w:rPr>
        <w:t xml:space="preserve"> </w:t>
      </w:r>
      <w:r w:rsidRPr="00076670">
        <w:rPr>
          <w:color w:val="000000"/>
          <w:sz w:val="20"/>
          <w:szCs w:val="20"/>
        </w:rPr>
        <w:t>mixed</w:t>
      </w:r>
      <w:r w:rsidRPr="00076670">
        <w:rPr>
          <w:color w:val="000000"/>
          <w:spacing w:val="80"/>
          <w:w w:val="150"/>
          <w:sz w:val="20"/>
          <w:szCs w:val="20"/>
        </w:rPr>
        <w:t xml:space="preserve"> </w:t>
      </w:r>
      <w:r w:rsidRPr="00076670">
        <w:rPr>
          <w:color w:val="000000"/>
          <w:sz w:val="20"/>
          <w:szCs w:val="20"/>
        </w:rPr>
        <w:t>with</w:t>
      </w:r>
      <w:r w:rsidRPr="00076670">
        <w:rPr>
          <w:color w:val="000000"/>
          <w:spacing w:val="80"/>
          <w:w w:val="150"/>
          <w:sz w:val="20"/>
          <w:szCs w:val="20"/>
        </w:rPr>
        <w:t xml:space="preserve"> </w:t>
      </w:r>
      <w:r w:rsidRPr="00076670">
        <w:rPr>
          <w:color w:val="000000"/>
          <w:sz w:val="20"/>
          <w:szCs w:val="20"/>
        </w:rPr>
        <w:t>few</w:t>
      </w:r>
      <w:r w:rsidRPr="00076670">
        <w:rPr>
          <w:color w:val="000000"/>
          <w:spacing w:val="80"/>
          <w:w w:val="150"/>
          <w:sz w:val="20"/>
          <w:szCs w:val="20"/>
        </w:rPr>
        <w:t xml:space="preserve"> </w:t>
      </w:r>
      <w:r w:rsidRPr="00076670">
        <w:rPr>
          <w:color w:val="000000"/>
          <w:sz w:val="20"/>
          <w:szCs w:val="20"/>
        </w:rPr>
        <w:t>drops</w:t>
      </w:r>
      <w:r w:rsidRPr="00076670">
        <w:rPr>
          <w:color w:val="000000"/>
          <w:spacing w:val="80"/>
          <w:sz w:val="20"/>
          <w:szCs w:val="20"/>
        </w:rPr>
        <w:t xml:space="preserve"> </w:t>
      </w:r>
      <w:r w:rsidRPr="00076670">
        <w:rPr>
          <w:color w:val="000000"/>
          <w:sz w:val="20"/>
          <w:szCs w:val="20"/>
        </w:rPr>
        <w:t>of</w:t>
      </w:r>
      <w:r w:rsidRPr="00076670">
        <w:rPr>
          <w:color w:val="000000"/>
          <w:spacing w:val="80"/>
          <w:sz w:val="20"/>
          <w:szCs w:val="20"/>
        </w:rPr>
        <w:t xml:space="preserve"> </w:t>
      </w:r>
      <w:r w:rsidRPr="00076670">
        <w:rPr>
          <w:color w:val="000000"/>
          <w:sz w:val="20"/>
          <w:szCs w:val="20"/>
        </w:rPr>
        <w:t>olive</w:t>
      </w:r>
      <w:r w:rsidRPr="00076670">
        <w:rPr>
          <w:color w:val="000000"/>
          <w:spacing w:val="80"/>
          <w:w w:val="150"/>
          <w:sz w:val="20"/>
          <w:szCs w:val="20"/>
        </w:rPr>
        <w:t xml:space="preserve"> </w:t>
      </w:r>
      <w:r w:rsidRPr="00076670">
        <w:rPr>
          <w:color w:val="000000"/>
          <w:sz w:val="20"/>
          <w:szCs w:val="20"/>
        </w:rPr>
        <w:t>oil</w:t>
      </w:r>
      <w:r w:rsidRPr="00076670">
        <w:rPr>
          <w:color w:val="000000"/>
          <w:spacing w:val="80"/>
          <w:w w:val="150"/>
          <w:sz w:val="20"/>
          <w:szCs w:val="20"/>
        </w:rPr>
        <w:t xml:space="preserve"> </w:t>
      </w:r>
      <w:r w:rsidRPr="00076670">
        <w:rPr>
          <w:color w:val="000000"/>
          <w:sz w:val="20"/>
          <w:szCs w:val="20"/>
        </w:rPr>
        <w:t>and mixed vigorously and the foam appearance showed the presence of saponins.</w:t>
      </w:r>
    </w:p>
    <w:p w14:paraId="66BB049D" w14:textId="77777777" w:rsidR="00D460AE" w:rsidRPr="00076670" w:rsidRDefault="00000000" w:rsidP="00076670">
      <w:pPr>
        <w:pStyle w:val="Heading5"/>
        <w:keepNext w:val="0"/>
        <w:keepLines w:val="0"/>
        <w:widowControl w:val="0"/>
        <w:numPr>
          <w:ilvl w:val="0"/>
          <w:numId w:val="1"/>
        </w:numPr>
        <w:tabs>
          <w:tab w:val="left" w:pos="1541"/>
        </w:tabs>
        <w:autoSpaceDE w:val="0"/>
        <w:autoSpaceDN w:val="0"/>
        <w:spacing w:before="0"/>
        <w:ind w:left="0" w:right="-29" w:firstLine="0"/>
        <w:jc w:val="both"/>
        <w:rPr>
          <w:rFonts w:ascii="Times New Roman" w:hAnsi="Times New Roman" w:cs="Times New Roman"/>
          <w:b/>
          <w:color w:val="000000"/>
          <w:sz w:val="20"/>
          <w:szCs w:val="20"/>
        </w:rPr>
      </w:pPr>
      <w:r w:rsidRPr="00076670">
        <w:rPr>
          <w:rFonts w:ascii="Times New Roman" w:hAnsi="Times New Roman" w:cs="Times New Roman"/>
          <w:b/>
          <w:color w:val="000000"/>
          <w:sz w:val="20"/>
          <w:szCs w:val="20"/>
        </w:rPr>
        <w:t>Test</w:t>
      </w:r>
      <w:r w:rsidRPr="00076670">
        <w:rPr>
          <w:rFonts w:ascii="Times New Roman" w:hAnsi="Times New Roman" w:cs="Times New Roman"/>
          <w:b/>
          <w:color w:val="000000"/>
          <w:spacing w:val="-3"/>
          <w:sz w:val="20"/>
          <w:szCs w:val="20"/>
        </w:rPr>
        <w:t xml:space="preserve"> </w:t>
      </w:r>
      <w:r w:rsidRPr="00076670">
        <w:rPr>
          <w:rFonts w:ascii="Times New Roman" w:hAnsi="Times New Roman" w:cs="Times New Roman"/>
          <w:b/>
          <w:color w:val="000000"/>
          <w:sz w:val="20"/>
          <w:szCs w:val="20"/>
        </w:rPr>
        <w:t>for</w:t>
      </w:r>
      <w:r w:rsidRPr="00076670">
        <w:rPr>
          <w:rFonts w:ascii="Times New Roman" w:hAnsi="Times New Roman" w:cs="Times New Roman"/>
          <w:b/>
          <w:color w:val="000000"/>
          <w:spacing w:val="-17"/>
          <w:sz w:val="20"/>
          <w:szCs w:val="20"/>
        </w:rPr>
        <w:t xml:space="preserve"> </w:t>
      </w:r>
      <w:r w:rsidRPr="00076670">
        <w:rPr>
          <w:rFonts w:ascii="Times New Roman" w:hAnsi="Times New Roman" w:cs="Times New Roman"/>
          <w:b/>
          <w:color w:val="000000"/>
          <w:spacing w:val="-2"/>
          <w:sz w:val="20"/>
          <w:szCs w:val="20"/>
        </w:rPr>
        <w:t>Flavonoids:</w:t>
      </w:r>
    </w:p>
    <w:p w14:paraId="2FACF0F9" w14:textId="77777777" w:rsidR="00D460AE" w:rsidRPr="00076670" w:rsidRDefault="00000000" w:rsidP="00076670">
      <w:pPr>
        <w:pStyle w:val="BodyText"/>
        <w:spacing w:line="276" w:lineRule="auto"/>
        <w:ind w:right="-29"/>
        <w:jc w:val="both"/>
        <w:rPr>
          <w:b/>
          <w:color w:val="000000"/>
          <w:sz w:val="20"/>
          <w:szCs w:val="20"/>
        </w:rPr>
      </w:pPr>
      <w:r w:rsidRPr="00076670">
        <w:rPr>
          <w:color w:val="000000"/>
          <w:sz w:val="20"/>
          <w:szCs w:val="20"/>
        </w:rPr>
        <w:t>To</w:t>
      </w:r>
      <w:r w:rsidRPr="00076670">
        <w:rPr>
          <w:color w:val="000000"/>
          <w:spacing w:val="-1"/>
          <w:sz w:val="20"/>
          <w:szCs w:val="20"/>
        </w:rPr>
        <w:t xml:space="preserve"> </w:t>
      </w:r>
      <w:r w:rsidRPr="00076670">
        <w:rPr>
          <w:color w:val="000000"/>
          <w:sz w:val="20"/>
          <w:szCs w:val="20"/>
        </w:rPr>
        <w:t>two ml</w:t>
      </w:r>
      <w:r w:rsidRPr="00076670">
        <w:rPr>
          <w:color w:val="000000"/>
          <w:spacing w:val="-4"/>
          <w:sz w:val="20"/>
          <w:szCs w:val="20"/>
        </w:rPr>
        <w:t xml:space="preserve"> </w:t>
      </w:r>
      <w:r w:rsidRPr="00076670">
        <w:rPr>
          <w:color w:val="000000"/>
          <w:sz w:val="20"/>
          <w:szCs w:val="20"/>
        </w:rPr>
        <w:t>of</w:t>
      </w:r>
      <w:r w:rsidRPr="00076670">
        <w:rPr>
          <w:color w:val="000000"/>
          <w:spacing w:val="-8"/>
          <w:sz w:val="20"/>
          <w:szCs w:val="20"/>
        </w:rPr>
        <w:t xml:space="preserve"> </w:t>
      </w:r>
      <w:r w:rsidRPr="00076670">
        <w:rPr>
          <w:color w:val="000000"/>
          <w:sz w:val="20"/>
          <w:szCs w:val="20"/>
        </w:rPr>
        <w:t>extract,</w:t>
      </w:r>
      <w:r w:rsidRPr="00076670">
        <w:rPr>
          <w:color w:val="000000"/>
          <w:spacing w:val="-2"/>
          <w:sz w:val="20"/>
          <w:szCs w:val="20"/>
        </w:rPr>
        <w:t xml:space="preserve"> </w:t>
      </w:r>
      <w:r w:rsidRPr="00076670">
        <w:rPr>
          <w:color w:val="000000"/>
          <w:sz w:val="20"/>
          <w:szCs w:val="20"/>
        </w:rPr>
        <w:t>two to</w:t>
      </w:r>
      <w:r w:rsidRPr="00076670">
        <w:rPr>
          <w:color w:val="000000"/>
          <w:spacing w:val="-1"/>
          <w:sz w:val="20"/>
          <w:szCs w:val="20"/>
        </w:rPr>
        <w:t xml:space="preserve"> </w:t>
      </w:r>
      <w:r w:rsidRPr="00076670">
        <w:rPr>
          <w:color w:val="000000"/>
          <w:sz w:val="20"/>
          <w:szCs w:val="20"/>
        </w:rPr>
        <w:t>three drops</w:t>
      </w:r>
      <w:r w:rsidRPr="00076670">
        <w:rPr>
          <w:color w:val="000000"/>
          <w:spacing w:val="-5"/>
          <w:sz w:val="20"/>
          <w:szCs w:val="20"/>
        </w:rPr>
        <w:t xml:space="preserve"> </w:t>
      </w:r>
      <w:r w:rsidRPr="00076670">
        <w:rPr>
          <w:color w:val="000000"/>
          <w:sz w:val="20"/>
          <w:szCs w:val="20"/>
        </w:rPr>
        <w:t>of</w:t>
      </w:r>
      <w:r w:rsidRPr="00076670">
        <w:rPr>
          <w:color w:val="000000"/>
          <w:spacing w:val="-8"/>
          <w:sz w:val="20"/>
          <w:szCs w:val="20"/>
        </w:rPr>
        <w:t xml:space="preserve"> </w:t>
      </w:r>
      <w:r w:rsidRPr="00076670">
        <w:rPr>
          <w:color w:val="000000"/>
          <w:sz w:val="20"/>
          <w:szCs w:val="20"/>
        </w:rPr>
        <w:t>sodium hydroxide were added. When</w:t>
      </w:r>
      <w:r w:rsidRPr="00076670">
        <w:rPr>
          <w:color w:val="000000"/>
          <w:spacing w:val="-2"/>
          <w:sz w:val="20"/>
          <w:szCs w:val="20"/>
        </w:rPr>
        <w:t xml:space="preserve"> </w:t>
      </w:r>
      <w:r w:rsidRPr="00076670">
        <w:rPr>
          <w:color w:val="000000"/>
          <w:sz w:val="20"/>
          <w:szCs w:val="20"/>
        </w:rPr>
        <w:t>a few drops of diluted HCL were added, the initially bright yellow color gradually faded, showing the presence of flavonoids</w:t>
      </w:r>
      <w:r w:rsidRPr="00076670">
        <w:rPr>
          <w:color w:val="000000"/>
          <w:sz w:val="20"/>
          <w:szCs w:val="20"/>
        </w:rPr>
        <w:fldChar w:fldCharType="begin"/>
      </w:r>
      <w:r w:rsidRPr="00076670">
        <w:rPr>
          <w:color w:val="000000"/>
          <w:sz w:val="20"/>
          <w:szCs w:val="20"/>
        </w:rPr>
        <w:instrText>ADDIN CSL_CITATION {"citationItems":[{"id":"ITEM-1","itemData":{"ISSN":"0257-7941","PMID":"22557345","abstract":"Alkaloids, tannins, saponins, steroid, terpenoid, flavonoids, phenolic compounds and cardie glycoside distribution in five medicinal plants belonging to different families were assessed and compared. The medicinal plants investigated were Asteracantha longifolia (L.) Nees, Psassiflora edulis Sims, Berberis tinctoria Lesch, Sphaeranthus indicus Linn, and Solanum trilobatum Linn. All the plants were found to contain Phenols, Cardiac glycosides, Steroids, Saponins and Tannin except for the absence of flavonoids and Terpenoids in A. longifolia (L.)Nees and Alkaloids in, P edulis Sims, A.longifolia (L.)Nees, B. tinctoria Lesch and S. indicus Linn. respectively. The significance of the plants in traditional medicine and the importance of the distribution of these chemical constituents were discussed with respect to the role of these plants in ethnomedicine in India.","author":[{"dropping-particle":"","family":"Doss","given":"A","non-dropping-particle":"","parse-names":false,"suffix":""}],"container-title":"Ancient science of life","id":"ITEM-1","issue":"2","issued":{"date-parts":[["2009"]]},"page":"12-6","title":"Preliminary phytochemical screening of some Indian Medicinal Plants.","type":"article-journal","volume":"29"},"uris":["http://www.mendeley.com/documents/?uuid=790f2c8c-a95b-40b3-a338-0d4cd76f9585"]}],"mendeley":{"formattedCitation":"(Doss 2009)","plainTextFormattedCitation":"(Doss 2009)","previouslyFormattedCitation":"(Doss 2009)"},"properties":{"noteIndex":0},"schema":"https://github.com/citation-style-language/schema/raw/master/csl-citation.json"}</w:instrText>
      </w:r>
      <w:r w:rsidRPr="00076670">
        <w:rPr>
          <w:color w:val="000000"/>
          <w:sz w:val="20"/>
          <w:szCs w:val="20"/>
        </w:rPr>
        <w:fldChar w:fldCharType="separate"/>
      </w:r>
      <w:r w:rsidRPr="00076670">
        <w:rPr>
          <w:noProof/>
          <w:color w:val="000000"/>
          <w:sz w:val="20"/>
          <w:szCs w:val="20"/>
        </w:rPr>
        <w:t>(Doss 2009)</w:t>
      </w:r>
      <w:r w:rsidRPr="00076670">
        <w:rPr>
          <w:color w:val="000000"/>
          <w:sz w:val="20"/>
          <w:szCs w:val="20"/>
        </w:rPr>
        <w:fldChar w:fldCharType="end"/>
      </w:r>
      <w:r w:rsidRPr="00076670">
        <w:rPr>
          <w:b/>
          <w:color w:val="000000"/>
          <w:sz w:val="20"/>
          <w:szCs w:val="20"/>
        </w:rPr>
        <w:t>.</w:t>
      </w:r>
    </w:p>
    <w:p w14:paraId="57E5394E" w14:textId="77777777" w:rsidR="00076670" w:rsidRDefault="00076670" w:rsidP="00076670">
      <w:pPr>
        <w:pStyle w:val="BodyText"/>
        <w:spacing w:line="276" w:lineRule="auto"/>
        <w:ind w:right="-29"/>
        <w:jc w:val="center"/>
        <w:rPr>
          <w:b/>
          <w:color w:val="000000"/>
          <w:sz w:val="20"/>
          <w:szCs w:val="20"/>
        </w:rPr>
      </w:pPr>
    </w:p>
    <w:p w14:paraId="18A5568D" w14:textId="3171054D" w:rsidR="00D460AE" w:rsidRPr="00076670" w:rsidRDefault="00000000" w:rsidP="00076670">
      <w:pPr>
        <w:pStyle w:val="BodyText"/>
        <w:spacing w:line="276" w:lineRule="auto"/>
        <w:ind w:right="-29"/>
        <w:jc w:val="center"/>
        <w:rPr>
          <w:b/>
          <w:color w:val="000000"/>
          <w:sz w:val="20"/>
          <w:szCs w:val="20"/>
        </w:rPr>
      </w:pPr>
      <w:r w:rsidRPr="00076670">
        <w:rPr>
          <w:b/>
          <w:color w:val="000000"/>
          <w:sz w:val="20"/>
          <w:szCs w:val="20"/>
        </w:rPr>
        <w:t>Table1: Characterization of extract by chemical tests</w:t>
      </w:r>
    </w:p>
    <w:tbl>
      <w:tblPr>
        <w:tblW w:w="45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1"/>
        <w:gridCol w:w="1689"/>
        <w:gridCol w:w="1822"/>
      </w:tblGrid>
      <w:tr w:rsidR="00D460AE" w:rsidRPr="00076670" w14:paraId="0ABD8A4C" w14:textId="77777777" w:rsidTr="00076670">
        <w:trPr>
          <w:trHeight w:val="482"/>
          <w:jc w:val="center"/>
        </w:trPr>
        <w:tc>
          <w:tcPr>
            <w:tcW w:w="1061" w:type="dxa"/>
            <w:vAlign w:val="center"/>
          </w:tcPr>
          <w:p w14:paraId="19F62DC0"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z w:val="20"/>
                <w:szCs w:val="20"/>
              </w:rPr>
              <w:t>Sr.N</w:t>
            </w:r>
            <w:r w:rsidRPr="00076670">
              <w:rPr>
                <w:b/>
                <w:color w:val="000000"/>
                <w:spacing w:val="-5"/>
                <w:sz w:val="20"/>
                <w:szCs w:val="20"/>
              </w:rPr>
              <w:t>o.</w:t>
            </w:r>
          </w:p>
        </w:tc>
        <w:tc>
          <w:tcPr>
            <w:tcW w:w="1689" w:type="dxa"/>
            <w:vAlign w:val="center"/>
          </w:tcPr>
          <w:p w14:paraId="1445E004"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4"/>
                <w:sz w:val="20"/>
                <w:szCs w:val="20"/>
              </w:rPr>
              <w:t>Test</w:t>
            </w:r>
          </w:p>
        </w:tc>
        <w:tc>
          <w:tcPr>
            <w:tcW w:w="1822" w:type="dxa"/>
            <w:vAlign w:val="center"/>
          </w:tcPr>
          <w:p w14:paraId="57AFB4F2"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2"/>
                <w:sz w:val="20"/>
                <w:szCs w:val="20"/>
              </w:rPr>
              <w:t>Result</w:t>
            </w:r>
          </w:p>
        </w:tc>
      </w:tr>
      <w:tr w:rsidR="00D460AE" w:rsidRPr="00076670" w14:paraId="487FCC54" w14:textId="77777777" w:rsidTr="00076670">
        <w:trPr>
          <w:trHeight w:val="478"/>
          <w:jc w:val="center"/>
        </w:trPr>
        <w:tc>
          <w:tcPr>
            <w:tcW w:w="1061" w:type="dxa"/>
            <w:vAlign w:val="center"/>
          </w:tcPr>
          <w:p w14:paraId="246F4C0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1</w:t>
            </w:r>
          </w:p>
        </w:tc>
        <w:tc>
          <w:tcPr>
            <w:tcW w:w="1689" w:type="dxa"/>
            <w:vAlign w:val="center"/>
          </w:tcPr>
          <w:p w14:paraId="5CC511F1"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Steroids</w:t>
            </w:r>
          </w:p>
        </w:tc>
        <w:tc>
          <w:tcPr>
            <w:tcW w:w="1822" w:type="dxa"/>
            <w:vAlign w:val="center"/>
          </w:tcPr>
          <w:p w14:paraId="0F4E437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Present</w:t>
            </w:r>
          </w:p>
        </w:tc>
      </w:tr>
      <w:tr w:rsidR="00D460AE" w:rsidRPr="00076670" w14:paraId="692B8BC1" w14:textId="77777777" w:rsidTr="00076670">
        <w:trPr>
          <w:trHeight w:val="482"/>
          <w:jc w:val="center"/>
        </w:trPr>
        <w:tc>
          <w:tcPr>
            <w:tcW w:w="1061" w:type="dxa"/>
            <w:vAlign w:val="center"/>
          </w:tcPr>
          <w:p w14:paraId="69CE9C03"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2</w:t>
            </w:r>
          </w:p>
        </w:tc>
        <w:tc>
          <w:tcPr>
            <w:tcW w:w="1689" w:type="dxa"/>
            <w:vAlign w:val="center"/>
          </w:tcPr>
          <w:p w14:paraId="364415B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Terpenoids</w:t>
            </w:r>
          </w:p>
        </w:tc>
        <w:tc>
          <w:tcPr>
            <w:tcW w:w="1822" w:type="dxa"/>
            <w:vAlign w:val="center"/>
          </w:tcPr>
          <w:p w14:paraId="6D016278"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Present</w:t>
            </w:r>
          </w:p>
        </w:tc>
      </w:tr>
      <w:tr w:rsidR="00D460AE" w:rsidRPr="00076670" w14:paraId="50CA4300" w14:textId="77777777" w:rsidTr="00076670">
        <w:trPr>
          <w:trHeight w:val="482"/>
          <w:jc w:val="center"/>
        </w:trPr>
        <w:tc>
          <w:tcPr>
            <w:tcW w:w="1061" w:type="dxa"/>
            <w:vAlign w:val="center"/>
          </w:tcPr>
          <w:p w14:paraId="469D5630"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3</w:t>
            </w:r>
          </w:p>
        </w:tc>
        <w:tc>
          <w:tcPr>
            <w:tcW w:w="1689" w:type="dxa"/>
            <w:vAlign w:val="center"/>
          </w:tcPr>
          <w:p w14:paraId="1D003892"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Tannins</w:t>
            </w:r>
          </w:p>
        </w:tc>
        <w:tc>
          <w:tcPr>
            <w:tcW w:w="1822" w:type="dxa"/>
            <w:vAlign w:val="center"/>
          </w:tcPr>
          <w:p w14:paraId="2C86F74E"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Present</w:t>
            </w:r>
          </w:p>
        </w:tc>
      </w:tr>
      <w:tr w:rsidR="00D460AE" w:rsidRPr="00076670" w14:paraId="2B337DBD" w14:textId="77777777" w:rsidTr="00076670">
        <w:trPr>
          <w:trHeight w:val="489"/>
          <w:jc w:val="center"/>
        </w:trPr>
        <w:tc>
          <w:tcPr>
            <w:tcW w:w="1061" w:type="dxa"/>
            <w:vAlign w:val="center"/>
          </w:tcPr>
          <w:p w14:paraId="7A7944C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4</w:t>
            </w:r>
          </w:p>
        </w:tc>
        <w:tc>
          <w:tcPr>
            <w:tcW w:w="1689" w:type="dxa"/>
            <w:vAlign w:val="center"/>
          </w:tcPr>
          <w:p w14:paraId="19501761"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Alkaloid</w:t>
            </w:r>
          </w:p>
        </w:tc>
        <w:tc>
          <w:tcPr>
            <w:tcW w:w="1822" w:type="dxa"/>
            <w:vAlign w:val="center"/>
          </w:tcPr>
          <w:p w14:paraId="309DA79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Present</w:t>
            </w:r>
          </w:p>
        </w:tc>
      </w:tr>
      <w:tr w:rsidR="00D460AE" w:rsidRPr="00076670" w14:paraId="24BD3597" w14:textId="77777777" w:rsidTr="00076670">
        <w:trPr>
          <w:trHeight w:val="484"/>
          <w:jc w:val="center"/>
        </w:trPr>
        <w:tc>
          <w:tcPr>
            <w:tcW w:w="1061" w:type="dxa"/>
            <w:vAlign w:val="center"/>
          </w:tcPr>
          <w:p w14:paraId="716B7760"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5</w:t>
            </w:r>
          </w:p>
        </w:tc>
        <w:tc>
          <w:tcPr>
            <w:tcW w:w="1689" w:type="dxa"/>
            <w:vAlign w:val="center"/>
          </w:tcPr>
          <w:p w14:paraId="42CF9529"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Saponin</w:t>
            </w:r>
          </w:p>
        </w:tc>
        <w:tc>
          <w:tcPr>
            <w:tcW w:w="1822" w:type="dxa"/>
            <w:vAlign w:val="center"/>
          </w:tcPr>
          <w:p w14:paraId="309A265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Present</w:t>
            </w:r>
          </w:p>
        </w:tc>
      </w:tr>
      <w:tr w:rsidR="00D460AE" w:rsidRPr="00076670" w14:paraId="3C4865D2" w14:textId="77777777" w:rsidTr="00076670">
        <w:trPr>
          <w:trHeight w:val="482"/>
          <w:jc w:val="center"/>
        </w:trPr>
        <w:tc>
          <w:tcPr>
            <w:tcW w:w="1061" w:type="dxa"/>
            <w:vAlign w:val="center"/>
          </w:tcPr>
          <w:p w14:paraId="09BDA9D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6</w:t>
            </w:r>
          </w:p>
        </w:tc>
        <w:tc>
          <w:tcPr>
            <w:tcW w:w="1689" w:type="dxa"/>
            <w:vAlign w:val="center"/>
          </w:tcPr>
          <w:p w14:paraId="4C2A4C1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Flavonoid</w:t>
            </w:r>
          </w:p>
        </w:tc>
        <w:tc>
          <w:tcPr>
            <w:tcW w:w="1822" w:type="dxa"/>
            <w:vAlign w:val="center"/>
          </w:tcPr>
          <w:p w14:paraId="0DB6E3A8"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Present</w:t>
            </w:r>
          </w:p>
        </w:tc>
      </w:tr>
    </w:tbl>
    <w:p w14:paraId="4076EF33" w14:textId="77777777" w:rsidR="00D460AE" w:rsidRPr="00076670" w:rsidRDefault="00000000" w:rsidP="00076670">
      <w:pPr>
        <w:pStyle w:val="BodyText"/>
        <w:spacing w:line="276" w:lineRule="auto"/>
        <w:ind w:right="-29"/>
        <w:jc w:val="both"/>
        <w:rPr>
          <w:b/>
          <w:noProof/>
          <w:color w:val="000000"/>
          <w:sz w:val="20"/>
          <w:szCs w:val="20"/>
        </w:rPr>
      </w:pPr>
      <w:r w:rsidRPr="00076670">
        <w:rPr>
          <w:b/>
          <w:noProof/>
          <w:color w:val="000000"/>
          <w:sz w:val="20"/>
          <w:szCs w:val="20"/>
        </w:rPr>
        <w:t xml:space="preserve">                </w:t>
      </w:r>
    </w:p>
    <w:p w14:paraId="2DC33D10" w14:textId="77777777" w:rsidR="00D460AE" w:rsidRPr="00076670" w:rsidRDefault="00000000" w:rsidP="00076670">
      <w:pPr>
        <w:pStyle w:val="BodyText"/>
        <w:spacing w:line="276" w:lineRule="auto"/>
        <w:ind w:right="-29"/>
        <w:jc w:val="center"/>
        <w:rPr>
          <w:b/>
          <w:color w:val="000000"/>
          <w:sz w:val="20"/>
          <w:szCs w:val="20"/>
        </w:rPr>
      </w:pPr>
      <w:r w:rsidRPr="00076670">
        <w:rPr>
          <w:b/>
          <w:noProof/>
          <w:color w:val="000000"/>
          <w:sz w:val="20"/>
          <w:szCs w:val="20"/>
        </w:rPr>
        <w:drawing>
          <wp:inline distT="0" distB="0" distL="0" distR="0" wp14:anchorId="161BA540" wp14:editId="34E3A877">
            <wp:extent cx="2812415" cy="1932495"/>
            <wp:effectExtent l="0" t="0" r="6985" b="0"/>
            <wp:docPr id="102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15" cstate="print"/>
                    <a:srcRect/>
                    <a:stretch/>
                  </pic:blipFill>
                  <pic:spPr>
                    <a:xfrm>
                      <a:off x="0" y="0"/>
                      <a:ext cx="2849179" cy="1957756"/>
                    </a:xfrm>
                    <a:prstGeom prst="rect">
                      <a:avLst/>
                    </a:prstGeom>
                  </pic:spPr>
                </pic:pic>
              </a:graphicData>
            </a:graphic>
          </wp:inline>
        </w:drawing>
      </w:r>
    </w:p>
    <w:p w14:paraId="360A57DE" w14:textId="77777777" w:rsidR="00D460AE" w:rsidRDefault="00000000" w:rsidP="00076670">
      <w:pPr>
        <w:pStyle w:val="BodyText"/>
        <w:spacing w:line="276" w:lineRule="auto"/>
        <w:ind w:right="-29"/>
        <w:jc w:val="center"/>
        <w:rPr>
          <w:b/>
          <w:color w:val="000000"/>
          <w:sz w:val="20"/>
          <w:szCs w:val="20"/>
        </w:rPr>
      </w:pPr>
      <w:r w:rsidRPr="00076670">
        <w:rPr>
          <w:b/>
          <w:color w:val="000000"/>
          <w:sz w:val="20"/>
          <w:szCs w:val="20"/>
        </w:rPr>
        <w:t>Fig2: Chemical Tests.</w:t>
      </w:r>
    </w:p>
    <w:p w14:paraId="6AAC7A8B" w14:textId="77777777" w:rsidR="00076670" w:rsidRDefault="00076670" w:rsidP="00076670">
      <w:pPr>
        <w:pStyle w:val="BodyText"/>
        <w:spacing w:line="276" w:lineRule="auto"/>
        <w:ind w:right="-29"/>
        <w:jc w:val="center"/>
        <w:rPr>
          <w:b/>
          <w:color w:val="000000"/>
          <w:sz w:val="20"/>
          <w:szCs w:val="20"/>
        </w:rPr>
      </w:pPr>
    </w:p>
    <w:p w14:paraId="45D9BD4F" w14:textId="77777777" w:rsidR="00D460AE" w:rsidRPr="00076670" w:rsidRDefault="00000000" w:rsidP="00076670">
      <w:pPr>
        <w:pStyle w:val="BodyText"/>
        <w:spacing w:line="276" w:lineRule="auto"/>
        <w:ind w:right="-29"/>
        <w:jc w:val="both"/>
        <w:rPr>
          <w:b/>
          <w:color w:val="000000"/>
          <w:sz w:val="20"/>
          <w:szCs w:val="20"/>
        </w:rPr>
      </w:pPr>
      <w:r w:rsidRPr="00076670">
        <w:rPr>
          <w:b/>
          <w:color w:val="000000"/>
          <w:sz w:val="20"/>
          <w:szCs w:val="20"/>
        </w:rPr>
        <w:lastRenderedPageBreak/>
        <w:t>Procedure for Jellies:</w:t>
      </w:r>
    </w:p>
    <w:p w14:paraId="4D405B7C" w14:textId="77777777" w:rsidR="00D460AE" w:rsidRPr="00076670" w:rsidRDefault="00000000" w:rsidP="00076670">
      <w:pPr>
        <w:pStyle w:val="BodyText"/>
        <w:numPr>
          <w:ilvl w:val="0"/>
          <w:numId w:val="8"/>
        </w:numPr>
        <w:spacing w:line="276" w:lineRule="auto"/>
        <w:ind w:left="0" w:right="-29" w:firstLine="0"/>
        <w:rPr>
          <w:b/>
          <w:color w:val="000000"/>
          <w:sz w:val="20"/>
          <w:szCs w:val="20"/>
        </w:rPr>
      </w:pPr>
      <w:r w:rsidRPr="00076670">
        <w:rPr>
          <w:color w:val="000000"/>
          <w:sz w:val="20"/>
          <w:szCs w:val="20"/>
        </w:rPr>
        <w:t>All components were accurately measured.</w:t>
      </w:r>
    </w:p>
    <w:p w14:paraId="39029171" w14:textId="77777777" w:rsidR="00D460AE" w:rsidRPr="00076670" w:rsidRDefault="00000000" w:rsidP="00076670">
      <w:pPr>
        <w:pStyle w:val="BodyText"/>
        <w:numPr>
          <w:ilvl w:val="0"/>
          <w:numId w:val="8"/>
        </w:numPr>
        <w:spacing w:line="276" w:lineRule="auto"/>
        <w:ind w:left="0" w:right="-29" w:firstLine="0"/>
        <w:rPr>
          <w:color w:val="000000"/>
          <w:sz w:val="20"/>
          <w:szCs w:val="20"/>
        </w:rPr>
      </w:pPr>
      <w:r w:rsidRPr="00076670">
        <w:rPr>
          <w:color w:val="000000"/>
          <w:sz w:val="20"/>
          <w:szCs w:val="20"/>
        </w:rPr>
        <w:t>Sugar syrup was prepared in one beaker by adding 33.4 grams of sugar, and the volume was adjusted to 50 ml.</w:t>
      </w:r>
    </w:p>
    <w:p w14:paraId="32927D62" w14:textId="77777777" w:rsidR="00D460AE" w:rsidRPr="00076670" w:rsidRDefault="00000000" w:rsidP="00076670">
      <w:pPr>
        <w:pStyle w:val="ListParagraph"/>
        <w:numPr>
          <w:ilvl w:val="0"/>
          <w:numId w:val="8"/>
        </w:numPr>
        <w:spacing w:line="276" w:lineRule="auto"/>
        <w:ind w:left="0" w:right="-29" w:firstLine="0"/>
        <w:rPr>
          <w:color w:val="000000"/>
          <w:sz w:val="20"/>
          <w:szCs w:val="20"/>
        </w:rPr>
      </w:pPr>
      <w:r w:rsidRPr="00076670">
        <w:rPr>
          <w:color w:val="000000"/>
          <w:sz w:val="20"/>
          <w:szCs w:val="20"/>
        </w:rPr>
        <w:t>To</w:t>
      </w:r>
      <w:r w:rsidRPr="00076670">
        <w:rPr>
          <w:color w:val="000000"/>
          <w:spacing w:val="-7"/>
          <w:sz w:val="20"/>
          <w:szCs w:val="20"/>
        </w:rPr>
        <w:t xml:space="preserve"> </w:t>
      </w:r>
      <w:r w:rsidRPr="00076670">
        <w:rPr>
          <w:color w:val="000000"/>
          <w:sz w:val="20"/>
          <w:szCs w:val="20"/>
        </w:rPr>
        <w:t xml:space="preserve">that solution gelling agent was added with constant stirring and then it was heated till desired </w:t>
      </w:r>
      <w:r w:rsidRPr="00076670">
        <w:rPr>
          <w:color w:val="000000"/>
          <w:sz w:val="20"/>
          <w:szCs w:val="20"/>
        </w:rPr>
        <w:t>stiffness was achived.</w:t>
      </w:r>
    </w:p>
    <w:p w14:paraId="38E0F091" w14:textId="77777777" w:rsidR="00D460AE" w:rsidRPr="00076670" w:rsidRDefault="00000000" w:rsidP="00076670">
      <w:pPr>
        <w:pStyle w:val="ListParagraph"/>
        <w:numPr>
          <w:ilvl w:val="0"/>
          <w:numId w:val="8"/>
        </w:numPr>
        <w:spacing w:line="276" w:lineRule="auto"/>
        <w:ind w:left="0" w:right="-29" w:firstLine="0"/>
        <w:rPr>
          <w:color w:val="000000"/>
          <w:spacing w:val="-2"/>
          <w:sz w:val="20"/>
          <w:szCs w:val="20"/>
        </w:rPr>
      </w:pPr>
      <w:r w:rsidRPr="00076670">
        <w:rPr>
          <w:color w:val="000000"/>
          <w:sz w:val="20"/>
          <w:szCs w:val="20"/>
        </w:rPr>
        <w:t>The</w:t>
      </w:r>
      <w:r w:rsidRPr="00076670">
        <w:rPr>
          <w:color w:val="000000"/>
          <w:spacing w:val="-12"/>
          <w:sz w:val="20"/>
          <w:szCs w:val="20"/>
        </w:rPr>
        <w:t xml:space="preserve"> </w:t>
      </w:r>
      <w:r w:rsidRPr="00076670">
        <w:rPr>
          <w:color w:val="000000"/>
          <w:sz w:val="20"/>
          <w:szCs w:val="20"/>
        </w:rPr>
        <w:t>preservative</w:t>
      </w:r>
      <w:r w:rsidRPr="00076670">
        <w:rPr>
          <w:color w:val="000000"/>
          <w:spacing w:val="-2"/>
          <w:sz w:val="20"/>
          <w:szCs w:val="20"/>
        </w:rPr>
        <w:t xml:space="preserve"> </w:t>
      </w:r>
      <w:r w:rsidRPr="00076670">
        <w:rPr>
          <w:color w:val="000000"/>
          <w:sz w:val="20"/>
          <w:szCs w:val="20"/>
        </w:rPr>
        <w:t>was</w:t>
      </w:r>
      <w:r w:rsidRPr="00076670">
        <w:rPr>
          <w:color w:val="000000"/>
          <w:spacing w:val="-7"/>
          <w:sz w:val="20"/>
          <w:szCs w:val="20"/>
        </w:rPr>
        <w:t xml:space="preserve"> </w:t>
      </w:r>
      <w:r w:rsidRPr="00076670">
        <w:rPr>
          <w:color w:val="000000"/>
          <w:sz w:val="20"/>
          <w:szCs w:val="20"/>
        </w:rPr>
        <w:t>added</w:t>
      </w:r>
      <w:r w:rsidRPr="00076670">
        <w:rPr>
          <w:color w:val="000000"/>
          <w:spacing w:val="3"/>
          <w:sz w:val="20"/>
          <w:szCs w:val="20"/>
        </w:rPr>
        <w:t xml:space="preserve"> </w:t>
      </w:r>
      <w:r w:rsidRPr="00076670">
        <w:rPr>
          <w:color w:val="000000"/>
          <w:sz w:val="20"/>
          <w:szCs w:val="20"/>
        </w:rPr>
        <w:t>in</w:t>
      </w:r>
      <w:r w:rsidRPr="00076670">
        <w:rPr>
          <w:color w:val="000000"/>
          <w:spacing w:val="-11"/>
          <w:sz w:val="20"/>
          <w:szCs w:val="20"/>
        </w:rPr>
        <w:t xml:space="preserve"> </w:t>
      </w:r>
      <w:r w:rsidRPr="00076670">
        <w:rPr>
          <w:color w:val="000000"/>
          <w:sz w:val="20"/>
          <w:szCs w:val="20"/>
        </w:rPr>
        <w:t>above</w:t>
      </w:r>
      <w:r w:rsidRPr="00076670">
        <w:rPr>
          <w:color w:val="000000"/>
          <w:spacing w:val="-6"/>
          <w:sz w:val="20"/>
          <w:szCs w:val="20"/>
        </w:rPr>
        <w:t xml:space="preserve"> </w:t>
      </w:r>
      <w:r w:rsidRPr="00076670">
        <w:rPr>
          <w:color w:val="000000"/>
          <w:spacing w:val="-2"/>
          <w:sz w:val="20"/>
          <w:szCs w:val="20"/>
        </w:rPr>
        <w:t>solution.</w:t>
      </w:r>
    </w:p>
    <w:p w14:paraId="2879CDF5" w14:textId="77777777" w:rsidR="00D460AE" w:rsidRPr="00076670" w:rsidRDefault="00000000" w:rsidP="00076670">
      <w:pPr>
        <w:pStyle w:val="BodyText"/>
        <w:numPr>
          <w:ilvl w:val="0"/>
          <w:numId w:val="8"/>
        </w:numPr>
        <w:spacing w:line="276" w:lineRule="auto"/>
        <w:ind w:left="0" w:right="-29" w:firstLine="0"/>
        <w:rPr>
          <w:color w:val="000000"/>
          <w:sz w:val="20"/>
          <w:szCs w:val="20"/>
        </w:rPr>
      </w:pPr>
      <w:r w:rsidRPr="00076670">
        <w:rPr>
          <w:color w:val="000000"/>
          <w:sz w:val="20"/>
          <w:szCs w:val="20"/>
        </w:rPr>
        <w:t>The</w:t>
      </w:r>
      <w:r w:rsidRPr="00076670">
        <w:rPr>
          <w:color w:val="000000"/>
          <w:spacing w:val="-17"/>
          <w:sz w:val="20"/>
          <w:szCs w:val="20"/>
        </w:rPr>
        <w:t xml:space="preserve"> </w:t>
      </w:r>
      <w:r w:rsidRPr="00076670">
        <w:rPr>
          <w:color w:val="000000"/>
          <w:sz w:val="20"/>
          <w:szCs w:val="20"/>
        </w:rPr>
        <w:t>extract</w:t>
      </w:r>
      <w:r w:rsidRPr="00076670">
        <w:rPr>
          <w:color w:val="000000"/>
          <w:spacing w:val="-5"/>
          <w:sz w:val="20"/>
          <w:szCs w:val="20"/>
        </w:rPr>
        <w:t xml:space="preserve"> </w:t>
      </w:r>
      <w:r w:rsidRPr="00076670">
        <w:rPr>
          <w:color w:val="000000"/>
          <w:sz w:val="20"/>
          <w:szCs w:val="20"/>
        </w:rPr>
        <w:t>was</w:t>
      </w:r>
      <w:r w:rsidRPr="00076670">
        <w:rPr>
          <w:color w:val="000000"/>
          <w:spacing w:val="-8"/>
          <w:sz w:val="20"/>
          <w:szCs w:val="20"/>
        </w:rPr>
        <w:t xml:space="preserve"> </w:t>
      </w:r>
      <w:r w:rsidRPr="00076670">
        <w:rPr>
          <w:color w:val="000000"/>
          <w:sz w:val="20"/>
          <w:szCs w:val="20"/>
        </w:rPr>
        <w:t>accurately</w:t>
      </w:r>
      <w:r w:rsidRPr="00076670">
        <w:rPr>
          <w:color w:val="000000"/>
          <w:spacing w:val="-16"/>
          <w:sz w:val="20"/>
          <w:szCs w:val="20"/>
        </w:rPr>
        <w:t xml:space="preserve"> </w:t>
      </w:r>
      <w:r w:rsidRPr="00076670">
        <w:rPr>
          <w:color w:val="000000"/>
          <w:sz w:val="20"/>
          <w:szCs w:val="20"/>
        </w:rPr>
        <w:t>weighed</w:t>
      </w:r>
      <w:r w:rsidRPr="00076670">
        <w:rPr>
          <w:color w:val="000000"/>
          <w:spacing w:val="8"/>
          <w:sz w:val="20"/>
          <w:szCs w:val="20"/>
        </w:rPr>
        <w:t xml:space="preserve"> </w:t>
      </w:r>
      <w:r w:rsidRPr="00076670">
        <w:rPr>
          <w:color w:val="000000"/>
          <w:sz w:val="20"/>
          <w:szCs w:val="20"/>
        </w:rPr>
        <w:t>and</w:t>
      </w:r>
      <w:r w:rsidRPr="00076670">
        <w:rPr>
          <w:color w:val="000000"/>
          <w:spacing w:val="-7"/>
          <w:sz w:val="20"/>
          <w:szCs w:val="20"/>
        </w:rPr>
        <w:t xml:space="preserve"> </w:t>
      </w:r>
      <w:r w:rsidRPr="00076670">
        <w:rPr>
          <w:color w:val="000000"/>
          <w:sz w:val="20"/>
          <w:szCs w:val="20"/>
        </w:rPr>
        <w:t>added</w:t>
      </w:r>
      <w:r w:rsidRPr="00076670">
        <w:rPr>
          <w:color w:val="000000"/>
          <w:spacing w:val="3"/>
          <w:sz w:val="20"/>
          <w:szCs w:val="20"/>
        </w:rPr>
        <w:t xml:space="preserve"> </w:t>
      </w:r>
      <w:r w:rsidRPr="00076670">
        <w:rPr>
          <w:color w:val="000000"/>
          <w:sz w:val="20"/>
          <w:szCs w:val="20"/>
        </w:rPr>
        <w:t>into</w:t>
      </w:r>
      <w:r w:rsidRPr="00076670">
        <w:rPr>
          <w:color w:val="000000"/>
          <w:spacing w:val="-2"/>
          <w:sz w:val="20"/>
          <w:szCs w:val="20"/>
        </w:rPr>
        <w:t xml:space="preserve"> </w:t>
      </w:r>
      <w:r w:rsidRPr="00076670">
        <w:rPr>
          <w:color w:val="000000"/>
          <w:sz w:val="20"/>
          <w:szCs w:val="20"/>
        </w:rPr>
        <w:t>the</w:t>
      </w:r>
      <w:r w:rsidRPr="00076670">
        <w:rPr>
          <w:color w:val="000000"/>
          <w:spacing w:val="-8"/>
          <w:sz w:val="20"/>
          <w:szCs w:val="20"/>
        </w:rPr>
        <w:t xml:space="preserve"> </w:t>
      </w:r>
      <w:r w:rsidRPr="00076670">
        <w:rPr>
          <w:color w:val="000000"/>
          <w:sz w:val="20"/>
          <w:szCs w:val="20"/>
        </w:rPr>
        <w:t>above</w:t>
      </w:r>
      <w:r w:rsidRPr="00076670">
        <w:rPr>
          <w:color w:val="000000"/>
          <w:spacing w:val="-6"/>
          <w:sz w:val="20"/>
          <w:szCs w:val="20"/>
        </w:rPr>
        <w:t xml:space="preserve"> </w:t>
      </w:r>
      <w:r w:rsidRPr="00076670">
        <w:rPr>
          <w:color w:val="000000"/>
          <w:spacing w:val="-2"/>
          <w:sz w:val="20"/>
          <w:szCs w:val="20"/>
        </w:rPr>
        <w:t>solution.</w:t>
      </w:r>
    </w:p>
    <w:p w14:paraId="63DEFD54" w14:textId="77777777" w:rsidR="00D460AE" w:rsidRPr="00076670" w:rsidRDefault="00000000" w:rsidP="00076670">
      <w:pPr>
        <w:pStyle w:val="BodyText"/>
        <w:numPr>
          <w:ilvl w:val="0"/>
          <w:numId w:val="8"/>
        </w:numPr>
        <w:spacing w:line="276" w:lineRule="auto"/>
        <w:ind w:left="0" w:right="-29" w:firstLine="0"/>
        <w:rPr>
          <w:color w:val="000000"/>
          <w:sz w:val="20"/>
          <w:szCs w:val="20"/>
        </w:rPr>
      </w:pPr>
      <w:r w:rsidRPr="00076670">
        <w:rPr>
          <w:color w:val="000000"/>
          <w:sz w:val="20"/>
          <w:szCs w:val="20"/>
        </w:rPr>
        <w:t>The whole solution was transfered into the moulds which were covered with the polymer and allowed to set in refrigerator</w:t>
      </w:r>
      <w:r w:rsidRPr="00076670">
        <w:rPr>
          <w:color w:val="000000"/>
          <w:sz w:val="20"/>
          <w:szCs w:val="20"/>
        </w:rPr>
        <w:fldChar w:fldCharType="begin"/>
      </w:r>
      <w:r w:rsidRPr="00076670">
        <w:rPr>
          <w:color w:val="000000"/>
          <w:sz w:val="20"/>
          <w:szCs w:val="20"/>
        </w:rPr>
        <w:instrText>ADDIN CSL_CITATION {"citationItems":[{"id":"ITEM-1","itemData":{"DOI":"10.35629/7781-0704174179","author":[{"dropping-particle":"","family":"Rathod","given":"Ms Pranita I","non-dropping-particle":"","parse-names":false,"suffix":""},{"dropping-particle":"V","family":"Deshpande","given":"Prof V","non-dropping-particle":"","parse-names":false,"suffix":""},{"dropping-particle":"","family":"Shaikh","given":"Shadab","non-dropping-particle":"","parse-names":false,"suffix":""},{"dropping-particle":"","family":"Pathare","given":"Ms Shreya B","non-dropping-particle":"","parse-names":false,"suffix":""},{"dropping-particle":"","family":"Nawghare","given":"Ms Shweta M","non-dropping-particle":"","parse-names":false,"suffix":""},{"dropping-particle":"","family":"S","given":"Ms Shweta","non-dropping-particle":"","parse-names":false,"suffix":""}],"container-title":"International Journal of Pharmaceutical Research and Applications","id":"ITEM-1","issue":"4","issued":{"date-parts":[["2022"]]},"page":"174-179","title":"Review on Formulation and Development of Oral Medicated Jellies","type":"article-journal","volume":"7"},"uris":["http://www.mendeley.com/documents/?uuid=59f0e4f3-b54b-4fc1-81a2-b2666b380be1"]}],"mendeley":{"formattedCitation":"(Rathod et al. 2022)","plainTextFormattedCitation":"(Rathod et al. 2022)","previouslyFormattedCitation":"(Rathod et al. 2022)"},"properties":{"noteIndex":0},"schema":"https://github.com/citation-style-language/schema/raw/master/csl-citation.json"}</w:instrText>
      </w:r>
      <w:r w:rsidRPr="00076670">
        <w:rPr>
          <w:color w:val="000000"/>
          <w:sz w:val="20"/>
          <w:szCs w:val="20"/>
        </w:rPr>
        <w:fldChar w:fldCharType="separate"/>
      </w:r>
      <w:r w:rsidRPr="00076670">
        <w:rPr>
          <w:noProof/>
          <w:color w:val="000000"/>
          <w:sz w:val="20"/>
          <w:szCs w:val="20"/>
        </w:rPr>
        <w:t>(Rathod et al. 2022)</w:t>
      </w:r>
      <w:r w:rsidRPr="00076670">
        <w:rPr>
          <w:color w:val="000000"/>
          <w:sz w:val="20"/>
          <w:szCs w:val="20"/>
        </w:rPr>
        <w:fldChar w:fldCharType="end"/>
      </w:r>
      <w:r w:rsidRPr="00076670">
        <w:rPr>
          <w:color w:val="000000"/>
          <w:sz w:val="20"/>
          <w:szCs w:val="20"/>
        </w:rPr>
        <w:t>.</w:t>
      </w:r>
    </w:p>
    <w:p w14:paraId="48D88AC3" w14:textId="77777777" w:rsidR="00076670" w:rsidRDefault="00076670" w:rsidP="00076670">
      <w:pPr>
        <w:pStyle w:val="Heading5"/>
        <w:keepNext w:val="0"/>
        <w:keepLines w:val="0"/>
        <w:widowControl w:val="0"/>
        <w:tabs>
          <w:tab w:val="left" w:pos="824"/>
        </w:tabs>
        <w:autoSpaceDE w:val="0"/>
        <w:autoSpaceDN w:val="0"/>
        <w:spacing w:before="0"/>
        <w:ind w:right="-29"/>
        <w:jc w:val="both"/>
        <w:rPr>
          <w:rFonts w:ascii="Times New Roman" w:hAnsi="Times New Roman" w:cs="Times New Roman"/>
          <w:b/>
          <w:color w:val="000000"/>
          <w:spacing w:val="-2"/>
          <w:sz w:val="20"/>
          <w:szCs w:val="20"/>
        </w:rPr>
        <w:sectPr w:rsidR="00076670" w:rsidSect="00076670">
          <w:type w:val="continuous"/>
          <w:pgSz w:w="11906" w:h="16838" w:code="9"/>
          <w:pgMar w:top="1440" w:right="1077" w:bottom="1440" w:left="1077" w:header="658" w:footer="974" w:gutter="0"/>
          <w:cols w:num="2" w:space="720"/>
        </w:sectPr>
      </w:pPr>
    </w:p>
    <w:p w14:paraId="607965A0" w14:textId="77777777" w:rsidR="00076670" w:rsidRDefault="00076670" w:rsidP="00076670">
      <w:pPr>
        <w:pStyle w:val="Heading5"/>
        <w:keepNext w:val="0"/>
        <w:keepLines w:val="0"/>
        <w:widowControl w:val="0"/>
        <w:tabs>
          <w:tab w:val="left" w:pos="824"/>
        </w:tabs>
        <w:autoSpaceDE w:val="0"/>
        <w:autoSpaceDN w:val="0"/>
        <w:spacing w:before="0"/>
        <w:ind w:right="-29"/>
        <w:jc w:val="both"/>
        <w:rPr>
          <w:rFonts w:ascii="Times New Roman" w:hAnsi="Times New Roman" w:cs="Times New Roman"/>
          <w:b/>
          <w:color w:val="000000"/>
          <w:spacing w:val="-2"/>
          <w:sz w:val="20"/>
          <w:szCs w:val="20"/>
        </w:rPr>
      </w:pPr>
    </w:p>
    <w:p w14:paraId="7CA96ABC" w14:textId="0FD4597A" w:rsidR="00D460AE" w:rsidRPr="00076670" w:rsidRDefault="00000000" w:rsidP="00076670">
      <w:pPr>
        <w:pStyle w:val="Heading5"/>
        <w:keepNext w:val="0"/>
        <w:keepLines w:val="0"/>
        <w:widowControl w:val="0"/>
        <w:tabs>
          <w:tab w:val="left" w:pos="824"/>
        </w:tabs>
        <w:autoSpaceDE w:val="0"/>
        <w:autoSpaceDN w:val="0"/>
        <w:spacing w:before="0"/>
        <w:ind w:right="-29"/>
        <w:jc w:val="both"/>
        <w:rPr>
          <w:rFonts w:ascii="Times New Roman" w:hAnsi="Times New Roman" w:cs="Times New Roman"/>
          <w:b/>
          <w:color w:val="000000"/>
          <w:sz w:val="20"/>
          <w:szCs w:val="20"/>
        </w:rPr>
      </w:pPr>
      <w:r w:rsidRPr="00076670">
        <w:rPr>
          <w:rFonts w:ascii="Times New Roman" w:hAnsi="Times New Roman" w:cs="Times New Roman"/>
          <w:b/>
          <w:color w:val="000000"/>
          <w:spacing w:val="-2"/>
          <w:sz w:val="20"/>
          <w:szCs w:val="20"/>
        </w:rPr>
        <w:t>Formulation</w:t>
      </w:r>
      <w:r w:rsidRPr="00076670">
        <w:rPr>
          <w:rFonts w:ascii="Times New Roman" w:hAnsi="Times New Roman" w:cs="Times New Roman"/>
          <w:b/>
          <w:color w:val="000000"/>
          <w:spacing w:val="4"/>
          <w:sz w:val="20"/>
          <w:szCs w:val="20"/>
        </w:rPr>
        <w:t xml:space="preserve"> </w:t>
      </w:r>
      <w:r w:rsidRPr="00076670">
        <w:rPr>
          <w:rFonts w:ascii="Times New Roman" w:hAnsi="Times New Roman" w:cs="Times New Roman"/>
          <w:b/>
          <w:color w:val="000000"/>
          <w:spacing w:val="-2"/>
          <w:sz w:val="20"/>
          <w:szCs w:val="20"/>
        </w:rPr>
        <w:t>Development:</w:t>
      </w:r>
    </w:p>
    <w:p w14:paraId="0A70ABBB" w14:textId="77777777" w:rsidR="00D460AE" w:rsidRPr="00076670" w:rsidRDefault="00000000" w:rsidP="00076670">
      <w:pPr>
        <w:pStyle w:val="BodyText"/>
        <w:spacing w:line="276" w:lineRule="auto"/>
        <w:ind w:right="-29"/>
        <w:jc w:val="center"/>
        <w:rPr>
          <w:b/>
          <w:color w:val="000000"/>
          <w:sz w:val="20"/>
          <w:szCs w:val="20"/>
        </w:rPr>
      </w:pPr>
      <w:r w:rsidRPr="00076670">
        <w:rPr>
          <w:b/>
          <w:color w:val="000000"/>
          <w:sz w:val="20"/>
          <w:szCs w:val="20"/>
        </w:rPr>
        <w:t>Table2:</w:t>
      </w:r>
      <w:r w:rsidRPr="00076670">
        <w:rPr>
          <w:b/>
          <w:color w:val="000000"/>
          <w:spacing w:val="49"/>
          <w:sz w:val="20"/>
          <w:szCs w:val="20"/>
        </w:rPr>
        <w:t xml:space="preserve"> </w:t>
      </w:r>
      <w:r w:rsidRPr="00076670">
        <w:rPr>
          <w:b/>
          <w:color w:val="000000"/>
          <w:sz w:val="20"/>
          <w:szCs w:val="20"/>
        </w:rPr>
        <w:t>List</w:t>
      </w:r>
      <w:r w:rsidRPr="00076670">
        <w:rPr>
          <w:b/>
          <w:color w:val="000000"/>
          <w:spacing w:val="-2"/>
          <w:sz w:val="20"/>
          <w:szCs w:val="20"/>
        </w:rPr>
        <w:t xml:space="preserve"> </w:t>
      </w:r>
      <w:r w:rsidRPr="00076670">
        <w:rPr>
          <w:b/>
          <w:color w:val="000000"/>
          <w:sz w:val="20"/>
          <w:szCs w:val="20"/>
        </w:rPr>
        <w:t>of</w:t>
      </w:r>
      <w:r w:rsidRPr="00076670">
        <w:rPr>
          <w:b/>
          <w:color w:val="000000"/>
          <w:spacing w:val="-13"/>
          <w:sz w:val="20"/>
          <w:szCs w:val="20"/>
        </w:rPr>
        <w:t xml:space="preserve"> </w:t>
      </w:r>
      <w:r w:rsidRPr="00076670">
        <w:rPr>
          <w:b/>
          <w:color w:val="000000"/>
          <w:sz w:val="20"/>
          <w:szCs w:val="20"/>
        </w:rPr>
        <w:t>ingredients</w:t>
      </w:r>
      <w:r w:rsidRPr="00076670">
        <w:rPr>
          <w:b/>
          <w:color w:val="000000"/>
          <w:spacing w:val="-7"/>
          <w:sz w:val="20"/>
          <w:szCs w:val="20"/>
        </w:rPr>
        <w:t xml:space="preserve"> </w:t>
      </w:r>
      <w:r w:rsidRPr="00076670">
        <w:rPr>
          <w:b/>
          <w:color w:val="000000"/>
          <w:sz w:val="20"/>
          <w:szCs w:val="20"/>
        </w:rPr>
        <w:t>and</w:t>
      </w:r>
      <w:r w:rsidRPr="00076670">
        <w:rPr>
          <w:b/>
          <w:color w:val="000000"/>
          <w:spacing w:val="8"/>
          <w:sz w:val="20"/>
          <w:szCs w:val="20"/>
        </w:rPr>
        <w:t xml:space="preserve"> </w:t>
      </w:r>
      <w:r w:rsidRPr="00076670">
        <w:rPr>
          <w:b/>
          <w:color w:val="000000"/>
          <w:sz w:val="20"/>
          <w:szCs w:val="20"/>
        </w:rPr>
        <w:t>its</w:t>
      </w:r>
      <w:r w:rsidRPr="00076670">
        <w:rPr>
          <w:b/>
          <w:color w:val="000000"/>
          <w:spacing w:val="-8"/>
          <w:sz w:val="20"/>
          <w:szCs w:val="20"/>
        </w:rPr>
        <w:t xml:space="preserve"> </w:t>
      </w:r>
      <w:r w:rsidRPr="00076670">
        <w:rPr>
          <w:b/>
          <w:color w:val="000000"/>
          <w:spacing w:val="-2"/>
          <w:sz w:val="20"/>
          <w:szCs w:val="20"/>
        </w:rPr>
        <w:t>quantity.</w:t>
      </w:r>
    </w:p>
    <w:tbl>
      <w:tblPr>
        <w:tblW w:w="84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1"/>
        <w:gridCol w:w="2555"/>
        <w:gridCol w:w="994"/>
        <w:gridCol w:w="1026"/>
        <w:gridCol w:w="1026"/>
        <w:gridCol w:w="1120"/>
      </w:tblGrid>
      <w:tr w:rsidR="00D460AE" w:rsidRPr="00076670" w14:paraId="5B39D056" w14:textId="77777777" w:rsidTr="00076670">
        <w:trPr>
          <w:trHeight w:val="455"/>
          <w:jc w:val="center"/>
        </w:trPr>
        <w:tc>
          <w:tcPr>
            <w:tcW w:w="1681" w:type="dxa"/>
            <w:vAlign w:val="center"/>
          </w:tcPr>
          <w:p w14:paraId="1F78DB1C" w14:textId="77777777" w:rsidR="00D460AE" w:rsidRPr="00076670" w:rsidRDefault="00000000" w:rsidP="00076670">
            <w:pPr>
              <w:pStyle w:val="TableParagraph"/>
              <w:spacing w:line="276" w:lineRule="auto"/>
              <w:ind w:right="-29"/>
              <w:jc w:val="center"/>
              <w:rPr>
                <w:color w:val="000000"/>
                <w:sz w:val="20"/>
                <w:szCs w:val="20"/>
              </w:rPr>
            </w:pPr>
            <w:r w:rsidRPr="00076670">
              <w:rPr>
                <w:b/>
                <w:color w:val="000000"/>
                <w:spacing w:val="-6"/>
                <w:sz w:val="20"/>
                <w:szCs w:val="20"/>
              </w:rPr>
              <w:t>Sr. No</w:t>
            </w:r>
            <w:r w:rsidRPr="00076670">
              <w:rPr>
                <w:color w:val="000000"/>
                <w:spacing w:val="-6"/>
                <w:sz w:val="20"/>
                <w:szCs w:val="20"/>
              </w:rPr>
              <w:t>.</w:t>
            </w:r>
          </w:p>
        </w:tc>
        <w:tc>
          <w:tcPr>
            <w:tcW w:w="2555" w:type="dxa"/>
            <w:vAlign w:val="center"/>
          </w:tcPr>
          <w:p w14:paraId="7A7A8128"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2"/>
                <w:sz w:val="20"/>
                <w:szCs w:val="20"/>
              </w:rPr>
              <w:t>Ingredients</w:t>
            </w:r>
          </w:p>
        </w:tc>
        <w:tc>
          <w:tcPr>
            <w:tcW w:w="994" w:type="dxa"/>
            <w:vAlign w:val="center"/>
          </w:tcPr>
          <w:p w14:paraId="48B9E061"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5"/>
                <w:sz w:val="20"/>
                <w:szCs w:val="20"/>
              </w:rPr>
              <w:t>F1</w:t>
            </w:r>
          </w:p>
        </w:tc>
        <w:tc>
          <w:tcPr>
            <w:tcW w:w="1026" w:type="dxa"/>
            <w:vAlign w:val="center"/>
          </w:tcPr>
          <w:p w14:paraId="1DE1C507"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5"/>
                <w:sz w:val="20"/>
                <w:szCs w:val="20"/>
              </w:rPr>
              <w:t>F2</w:t>
            </w:r>
          </w:p>
        </w:tc>
        <w:tc>
          <w:tcPr>
            <w:tcW w:w="1026" w:type="dxa"/>
            <w:vAlign w:val="center"/>
          </w:tcPr>
          <w:p w14:paraId="79506492"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5"/>
                <w:sz w:val="20"/>
                <w:szCs w:val="20"/>
              </w:rPr>
              <w:t>F3</w:t>
            </w:r>
          </w:p>
        </w:tc>
        <w:tc>
          <w:tcPr>
            <w:tcW w:w="1120" w:type="dxa"/>
            <w:vAlign w:val="center"/>
          </w:tcPr>
          <w:p w14:paraId="1C2F3CBD"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5"/>
                <w:sz w:val="20"/>
                <w:szCs w:val="20"/>
              </w:rPr>
              <w:t>F4</w:t>
            </w:r>
          </w:p>
        </w:tc>
      </w:tr>
      <w:tr w:rsidR="00D460AE" w:rsidRPr="00076670" w14:paraId="508F011F" w14:textId="77777777" w:rsidTr="00076670">
        <w:trPr>
          <w:trHeight w:val="322"/>
          <w:jc w:val="center"/>
        </w:trPr>
        <w:tc>
          <w:tcPr>
            <w:tcW w:w="1681" w:type="dxa"/>
            <w:vAlign w:val="center"/>
          </w:tcPr>
          <w:p w14:paraId="53FA5D7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1</w:t>
            </w:r>
          </w:p>
        </w:tc>
        <w:tc>
          <w:tcPr>
            <w:tcW w:w="2555" w:type="dxa"/>
            <w:vAlign w:val="center"/>
          </w:tcPr>
          <w:p w14:paraId="46E173FA" w14:textId="77777777" w:rsidR="00D460AE" w:rsidRPr="00076670" w:rsidRDefault="00000000" w:rsidP="00076670">
            <w:pPr>
              <w:pStyle w:val="TableParagraph"/>
              <w:spacing w:line="276" w:lineRule="auto"/>
              <w:ind w:right="-29"/>
              <w:jc w:val="center"/>
              <w:rPr>
                <w:color w:val="000000"/>
                <w:sz w:val="20"/>
                <w:szCs w:val="20"/>
              </w:rPr>
            </w:pPr>
            <w:r w:rsidRPr="00076670">
              <w:rPr>
                <w:i/>
                <w:color w:val="000000"/>
                <w:sz w:val="20"/>
                <w:szCs w:val="20"/>
              </w:rPr>
              <w:t>T.</w:t>
            </w:r>
            <w:r w:rsidRPr="00076670">
              <w:rPr>
                <w:i/>
                <w:color w:val="000000"/>
                <w:spacing w:val="-8"/>
                <w:sz w:val="20"/>
                <w:szCs w:val="20"/>
              </w:rPr>
              <w:t xml:space="preserve"> </w:t>
            </w:r>
            <w:r w:rsidRPr="00076670">
              <w:rPr>
                <w:i/>
                <w:color w:val="000000"/>
                <w:sz w:val="20"/>
                <w:szCs w:val="20"/>
              </w:rPr>
              <w:t>terrestris</w:t>
            </w:r>
            <w:r w:rsidRPr="00076670">
              <w:rPr>
                <w:i/>
                <w:color w:val="000000"/>
                <w:spacing w:val="-9"/>
                <w:sz w:val="20"/>
                <w:szCs w:val="20"/>
              </w:rPr>
              <w:t xml:space="preserve"> </w:t>
            </w:r>
            <w:r w:rsidRPr="00076670">
              <w:rPr>
                <w:color w:val="000000"/>
                <w:spacing w:val="-2"/>
                <w:sz w:val="20"/>
                <w:szCs w:val="20"/>
              </w:rPr>
              <w:t>Extract</w:t>
            </w:r>
          </w:p>
        </w:tc>
        <w:tc>
          <w:tcPr>
            <w:tcW w:w="994" w:type="dxa"/>
            <w:vAlign w:val="center"/>
          </w:tcPr>
          <w:p w14:paraId="522B296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w:t>
            </w:r>
          </w:p>
        </w:tc>
        <w:tc>
          <w:tcPr>
            <w:tcW w:w="1026" w:type="dxa"/>
            <w:vAlign w:val="center"/>
          </w:tcPr>
          <w:p w14:paraId="5CE0C16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w:t>
            </w:r>
          </w:p>
        </w:tc>
        <w:tc>
          <w:tcPr>
            <w:tcW w:w="1026" w:type="dxa"/>
            <w:vAlign w:val="center"/>
          </w:tcPr>
          <w:p w14:paraId="3568EDA7"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w:t>
            </w:r>
          </w:p>
        </w:tc>
        <w:tc>
          <w:tcPr>
            <w:tcW w:w="1120" w:type="dxa"/>
            <w:vAlign w:val="center"/>
          </w:tcPr>
          <w:p w14:paraId="1571F9F6"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w:t>
            </w:r>
          </w:p>
        </w:tc>
      </w:tr>
      <w:tr w:rsidR="00D460AE" w:rsidRPr="00076670" w14:paraId="239DC21F" w14:textId="77777777" w:rsidTr="00076670">
        <w:trPr>
          <w:trHeight w:val="347"/>
          <w:jc w:val="center"/>
        </w:trPr>
        <w:tc>
          <w:tcPr>
            <w:tcW w:w="1681" w:type="dxa"/>
            <w:vAlign w:val="center"/>
          </w:tcPr>
          <w:p w14:paraId="192AE94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2</w:t>
            </w:r>
          </w:p>
        </w:tc>
        <w:tc>
          <w:tcPr>
            <w:tcW w:w="2555" w:type="dxa"/>
            <w:vAlign w:val="center"/>
          </w:tcPr>
          <w:p w14:paraId="1E448C5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Pectin</w:t>
            </w:r>
          </w:p>
        </w:tc>
        <w:tc>
          <w:tcPr>
            <w:tcW w:w="994" w:type="dxa"/>
            <w:vAlign w:val="center"/>
          </w:tcPr>
          <w:p w14:paraId="46C95C0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2gm</w:t>
            </w:r>
          </w:p>
        </w:tc>
        <w:tc>
          <w:tcPr>
            <w:tcW w:w="1026" w:type="dxa"/>
            <w:vAlign w:val="center"/>
          </w:tcPr>
          <w:p w14:paraId="35DCFBC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1gm</w:t>
            </w:r>
          </w:p>
        </w:tc>
        <w:tc>
          <w:tcPr>
            <w:tcW w:w="1026" w:type="dxa"/>
            <w:vAlign w:val="center"/>
          </w:tcPr>
          <w:p w14:paraId="79B486D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w:t>
            </w:r>
          </w:p>
        </w:tc>
        <w:tc>
          <w:tcPr>
            <w:tcW w:w="1120" w:type="dxa"/>
            <w:vAlign w:val="center"/>
          </w:tcPr>
          <w:p w14:paraId="1DA6D09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w:t>
            </w:r>
          </w:p>
        </w:tc>
      </w:tr>
      <w:tr w:rsidR="00D460AE" w:rsidRPr="00076670" w14:paraId="63A56722" w14:textId="77777777" w:rsidTr="00076670">
        <w:trPr>
          <w:trHeight w:val="372"/>
          <w:jc w:val="center"/>
        </w:trPr>
        <w:tc>
          <w:tcPr>
            <w:tcW w:w="1681" w:type="dxa"/>
            <w:vAlign w:val="center"/>
          </w:tcPr>
          <w:p w14:paraId="762CE3BE"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3</w:t>
            </w:r>
          </w:p>
        </w:tc>
        <w:tc>
          <w:tcPr>
            <w:tcW w:w="2555" w:type="dxa"/>
            <w:vAlign w:val="center"/>
          </w:tcPr>
          <w:p w14:paraId="3329F0F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4"/>
                <w:sz w:val="20"/>
                <w:szCs w:val="20"/>
              </w:rPr>
              <w:t>Agar</w:t>
            </w:r>
          </w:p>
        </w:tc>
        <w:tc>
          <w:tcPr>
            <w:tcW w:w="994" w:type="dxa"/>
            <w:vAlign w:val="center"/>
          </w:tcPr>
          <w:p w14:paraId="6B0E7186"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w:t>
            </w:r>
          </w:p>
        </w:tc>
        <w:tc>
          <w:tcPr>
            <w:tcW w:w="1026" w:type="dxa"/>
            <w:vAlign w:val="center"/>
          </w:tcPr>
          <w:p w14:paraId="2425FF31"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1gm</w:t>
            </w:r>
          </w:p>
        </w:tc>
        <w:tc>
          <w:tcPr>
            <w:tcW w:w="1026" w:type="dxa"/>
            <w:vAlign w:val="center"/>
          </w:tcPr>
          <w:p w14:paraId="60BBC8A6"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1gm</w:t>
            </w:r>
          </w:p>
        </w:tc>
        <w:tc>
          <w:tcPr>
            <w:tcW w:w="1120" w:type="dxa"/>
            <w:vAlign w:val="center"/>
          </w:tcPr>
          <w:p w14:paraId="1F0D7DF2"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w:t>
            </w:r>
          </w:p>
        </w:tc>
      </w:tr>
      <w:tr w:rsidR="00D460AE" w:rsidRPr="00076670" w14:paraId="28C2BCC4" w14:textId="77777777" w:rsidTr="00076670">
        <w:trPr>
          <w:trHeight w:val="305"/>
          <w:jc w:val="center"/>
        </w:trPr>
        <w:tc>
          <w:tcPr>
            <w:tcW w:w="1681" w:type="dxa"/>
            <w:vAlign w:val="center"/>
          </w:tcPr>
          <w:p w14:paraId="5B72625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5</w:t>
            </w:r>
          </w:p>
        </w:tc>
        <w:tc>
          <w:tcPr>
            <w:tcW w:w="2555" w:type="dxa"/>
            <w:vAlign w:val="center"/>
          </w:tcPr>
          <w:p w14:paraId="4E34498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Gelatin</w:t>
            </w:r>
          </w:p>
        </w:tc>
        <w:tc>
          <w:tcPr>
            <w:tcW w:w="994" w:type="dxa"/>
            <w:vAlign w:val="center"/>
          </w:tcPr>
          <w:p w14:paraId="46F66FC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w:t>
            </w:r>
          </w:p>
        </w:tc>
        <w:tc>
          <w:tcPr>
            <w:tcW w:w="1026" w:type="dxa"/>
            <w:vAlign w:val="center"/>
          </w:tcPr>
          <w:p w14:paraId="772BF38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w:t>
            </w:r>
          </w:p>
        </w:tc>
        <w:tc>
          <w:tcPr>
            <w:tcW w:w="1026" w:type="dxa"/>
            <w:vAlign w:val="center"/>
          </w:tcPr>
          <w:p w14:paraId="6C2B2729"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1gm</w:t>
            </w:r>
          </w:p>
        </w:tc>
        <w:tc>
          <w:tcPr>
            <w:tcW w:w="1120" w:type="dxa"/>
            <w:vAlign w:val="center"/>
          </w:tcPr>
          <w:p w14:paraId="4E8A3FE9"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2gm</w:t>
            </w:r>
          </w:p>
        </w:tc>
      </w:tr>
      <w:tr w:rsidR="00D460AE" w:rsidRPr="00076670" w14:paraId="22FB04BE" w14:textId="77777777" w:rsidTr="00076670">
        <w:trPr>
          <w:trHeight w:val="330"/>
          <w:jc w:val="center"/>
        </w:trPr>
        <w:tc>
          <w:tcPr>
            <w:tcW w:w="1681" w:type="dxa"/>
            <w:vAlign w:val="center"/>
          </w:tcPr>
          <w:p w14:paraId="51D06CF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6</w:t>
            </w:r>
          </w:p>
        </w:tc>
        <w:tc>
          <w:tcPr>
            <w:tcW w:w="2555" w:type="dxa"/>
            <w:vAlign w:val="center"/>
          </w:tcPr>
          <w:p w14:paraId="43F2122E"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Citric</w:t>
            </w:r>
            <w:r w:rsidRPr="00076670">
              <w:rPr>
                <w:color w:val="000000"/>
                <w:spacing w:val="-15"/>
                <w:sz w:val="20"/>
                <w:szCs w:val="20"/>
              </w:rPr>
              <w:t xml:space="preserve"> </w:t>
            </w:r>
            <w:r w:rsidRPr="00076670">
              <w:rPr>
                <w:color w:val="000000"/>
                <w:spacing w:val="-4"/>
                <w:sz w:val="20"/>
                <w:szCs w:val="20"/>
              </w:rPr>
              <w:t>Acid</w:t>
            </w:r>
          </w:p>
        </w:tc>
        <w:tc>
          <w:tcPr>
            <w:tcW w:w="994" w:type="dxa"/>
            <w:vAlign w:val="center"/>
          </w:tcPr>
          <w:p w14:paraId="38B05A9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4"/>
                <w:sz w:val="20"/>
                <w:szCs w:val="20"/>
              </w:rPr>
              <w:t>0.5gm</w:t>
            </w:r>
          </w:p>
        </w:tc>
        <w:tc>
          <w:tcPr>
            <w:tcW w:w="1026" w:type="dxa"/>
            <w:vAlign w:val="center"/>
          </w:tcPr>
          <w:p w14:paraId="6090DBB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4"/>
                <w:sz w:val="20"/>
                <w:szCs w:val="20"/>
              </w:rPr>
              <w:t>0.5gm</w:t>
            </w:r>
          </w:p>
        </w:tc>
        <w:tc>
          <w:tcPr>
            <w:tcW w:w="1026" w:type="dxa"/>
            <w:vAlign w:val="center"/>
          </w:tcPr>
          <w:p w14:paraId="304A4C3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0.5gm</w:t>
            </w:r>
          </w:p>
        </w:tc>
        <w:tc>
          <w:tcPr>
            <w:tcW w:w="1120" w:type="dxa"/>
            <w:vAlign w:val="center"/>
          </w:tcPr>
          <w:p w14:paraId="2D5B4F39"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4"/>
                <w:sz w:val="20"/>
                <w:szCs w:val="20"/>
              </w:rPr>
              <w:t>0.5gm</w:t>
            </w:r>
          </w:p>
        </w:tc>
      </w:tr>
      <w:tr w:rsidR="00D460AE" w:rsidRPr="00076670" w14:paraId="4E6EC431" w14:textId="77777777" w:rsidTr="00076670">
        <w:trPr>
          <w:trHeight w:val="355"/>
          <w:jc w:val="center"/>
        </w:trPr>
        <w:tc>
          <w:tcPr>
            <w:tcW w:w="1681" w:type="dxa"/>
            <w:vAlign w:val="center"/>
          </w:tcPr>
          <w:p w14:paraId="12F1A7FF"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7</w:t>
            </w:r>
          </w:p>
        </w:tc>
        <w:tc>
          <w:tcPr>
            <w:tcW w:w="2555" w:type="dxa"/>
            <w:vAlign w:val="center"/>
          </w:tcPr>
          <w:p w14:paraId="5BC6933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Propylene</w:t>
            </w:r>
            <w:r w:rsidRPr="00076670">
              <w:rPr>
                <w:color w:val="000000"/>
                <w:spacing w:val="-6"/>
                <w:sz w:val="20"/>
                <w:szCs w:val="20"/>
              </w:rPr>
              <w:t xml:space="preserve"> </w:t>
            </w:r>
            <w:r w:rsidRPr="00076670">
              <w:rPr>
                <w:color w:val="000000"/>
                <w:spacing w:val="-2"/>
                <w:sz w:val="20"/>
                <w:szCs w:val="20"/>
              </w:rPr>
              <w:t>gylcol</w:t>
            </w:r>
          </w:p>
        </w:tc>
        <w:tc>
          <w:tcPr>
            <w:tcW w:w="994" w:type="dxa"/>
            <w:vAlign w:val="center"/>
          </w:tcPr>
          <w:p w14:paraId="6C0B6E70"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1.5ml</w:t>
            </w:r>
          </w:p>
        </w:tc>
        <w:tc>
          <w:tcPr>
            <w:tcW w:w="1026" w:type="dxa"/>
            <w:vAlign w:val="center"/>
          </w:tcPr>
          <w:p w14:paraId="0D98B261"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1.5ml</w:t>
            </w:r>
          </w:p>
        </w:tc>
        <w:tc>
          <w:tcPr>
            <w:tcW w:w="1026" w:type="dxa"/>
            <w:vAlign w:val="center"/>
          </w:tcPr>
          <w:p w14:paraId="35FFF819"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1.5ml</w:t>
            </w:r>
          </w:p>
        </w:tc>
        <w:tc>
          <w:tcPr>
            <w:tcW w:w="1120" w:type="dxa"/>
            <w:vAlign w:val="center"/>
          </w:tcPr>
          <w:p w14:paraId="37DDAE26"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1.5ml</w:t>
            </w:r>
          </w:p>
        </w:tc>
      </w:tr>
      <w:tr w:rsidR="00D460AE" w:rsidRPr="00076670" w14:paraId="2E5CF267" w14:textId="77777777" w:rsidTr="00076670">
        <w:trPr>
          <w:trHeight w:val="372"/>
          <w:jc w:val="center"/>
        </w:trPr>
        <w:tc>
          <w:tcPr>
            <w:tcW w:w="1681" w:type="dxa"/>
            <w:vAlign w:val="center"/>
          </w:tcPr>
          <w:p w14:paraId="0A696438"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8</w:t>
            </w:r>
          </w:p>
        </w:tc>
        <w:tc>
          <w:tcPr>
            <w:tcW w:w="2555" w:type="dxa"/>
            <w:vAlign w:val="center"/>
          </w:tcPr>
          <w:p w14:paraId="083678B6"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Sodium</w:t>
            </w:r>
            <w:r w:rsidRPr="00076670">
              <w:rPr>
                <w:color w:val="000000"/>
                <w:spacing w:val="-9"/>
                <w:sz w:val="20"/>
                <w:szCs w:val="20"/>
              </w:rPr>
              <w:t xml:space="preserve"> </w:t>
            </w:r>
            <w:r w:rsidRPr="00076670">
              <w:rPr>
                <w:color w:val="000000"/>
                <w:spacing w:val="-2"/>
                <w:sz w:val="20"/>
                <w:szCs w:val="20"/>
              </w:rPr>
              <w:t>Benzoate</w:t>
            </w:r>
          </w:p>
        </w:tc>
        <w:tc>
          <w:tcPr>
            <w:tcW w:w="994" w:type="dxa"/>
            <w:vAlign w:val="center"/>
          </w:tcPr>
          <w:p w14:paraId="2CC192B8"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0.5gm</w:t>
            </w:r>
          </w:p>
        </w:tc>
        <w:tc>
          <w:tcPr>
            <w:tcW w:w="1026" w:type="dxa"/>
            <w:vAlign w:val="center"/>
          </w:tcPr>
          <w:p w14:paraId="192663F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0.5gm</w:t>
            </w:r>
          </w:p>
        </w:tc>
        <w:tc>
          <w:tcPr>
            <w:tcW w:w="1026" w:type="dxa"/>
            <w:vAlign w:val="center"/>
          </w:tcPr>
          <w:p w14:paraId="70D54993"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0.5gm</w:t>
            </w:r>
          </w:p>
        </w:tc>
        <w:tc>
          <w:tcPr>
            <w:tcW w:w="1120" w:type="dxa"/>
            <w:vAlign w:val="center"/>
          </w:tcPr>
          <w:p w14:paraId="4174869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0.5gm</w:t>
            </w:r>
          </w:p>
        </w:tc>
      </w:tr>
      <w:tr w:rsidR="00D460AE" w:rsidRPr="00076670" w14:paraId="43E4D700" w14:textId="77777777" w:rsidTr="00076670">
        <w:trPr>
          <w:trHeight w:val="396"/>
          <w:jc w:val="center"/>
        </w:trPr>
        <w:tc>
          <w:tcPr>
            <w:tcW w:w="1681" w:type="dxa"/>
            <w:vAlign w:val="center"/>
          </w:tcPr>
          <w:p w14:paraId="3ECC2A31"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9</w:t>
            </w:r>
          </w:p>
        </w:tc>
        <w:tc>
          <w:tcPr>
            <w:tcW w:w="2555" w:type="dxa"/>
            <w:vAlign w:val="center"/>
          </w:tcPr>
          <w:p w14:paraId="397B6C4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Curcumin</w:t>
            </w:r>
          </w:p>
        </w:tc>
        <w:tc>
          <w:tcPr>
            <w:tcW w:w="994" w:type="dxa"/>
            <w:vAlign w:val="center"/>
          </w:tcPr>
          <w:p w14:paraId="4EF678E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4"/>
                <w:sz w:val="20"/>
                <w:szCs w:val="20"/>
              </w:rPr>
              <w:t>0.5gm</w:t>
            </w:r>
          </w:p>
        </w:tc>
        <w:tc>
          <w:tcPr>
            <w:tcW w:w="1026" w:type="dxa"/>
            <w:vAlign w:val="center"/>
          </w:tcPr>
          <w:p w14:paraId="6089E35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4"/>
                <w:sz w:val="20"/>
                <w:szCs w:val="20"/>
              </w:rPr>
              <w:t>0.5gm</w:t>
            </w:r>
          </w:p>
        </w:tc>
        <w:tc>
          <w:tcPr>
            <w:tcW w:w="1026" w:type="dxa"/>
            <w:vAlign w:val="center"/>
          </w:tcPr>
          <w:p w14:paraId="24E3E9EF"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0.5gm</w:t>
            </w:r>
          </w:p>
        </w:tc>
        <w:tc>
          <w:tcPr>
            <w:tcW w:w="1120" w:type="dxa"/>
            <w:vAlign w:val="center"/>
          </w:tcPr>
          <w:p w14:paraId="5692416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w:t>
            </w:r>
          </w:p>
        </w:tc>
      </w:tr>
      <w:tr w:rsidR="00D460AE" w:rsidRPr="00076670" w14:paraId="066DC0C2" w14:textId="77777777" w:rsidTr="00076670">
        <w:trPr>
          <w:trHeight w:val="404"/>
          <w:jc w:val="center"/>
        </w:trPr>
        <w:tc>
          <w:tcPr>
            <w:tcW w:w="1681" w:type="dxa"/>
            <w:vAlign w:val="center"/>
          </w:tcPr>
          <w:p w14:paraId="3D190420"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10</w:t>
            </w:r>
          </w:p>
        </w:tc>
        <w:tc>
          <w:tcPr>
            <w:tcW w:w="2555" w:type="dxa"/>
            <w:vAlign w:val="center"/>
          </w:tcPr>
          <w:p w14:paraId="03C01366"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Raspberry</w:t>
            </w:r>
            <w:r w:rsidRPr="00076670">
              <w:rPr>
                <w:color w:val="000000"/>
                <w:spacing w:val="-8"/>
                <w:sz w:val="20"/>
                <w:szCs w:val="20"/>
              </w:rPr>
              <w:t xml:space="preserve"> </w:t>
            </w:r>
            <w:r w:rsidRPr="00076670">
              <w:rPr>
                <w:color w:val="000000"/>
                <w:spacing w:val="-2"/>
                <w:sz w:val="20"/>
                <w:szCs w:val="20"/>
              </w:rPr>
              <w:t>Syrup</w:t>
            </w:r>
          </w:p>
        </w:tc>
        <w:tc>
          <w:tcPr>
            <w:tcW w:w="994" w:type="dxa"/>
            <w:vAlign w:val="center"/>
          </w:tcPr>
          <w:p w14:paraId="7AB4E660"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w:t>
            </w:r>
          </w:p>
        </w:tc>
        <w:tc>
          <w:tcPr>
            <w:tcW w:w="1026" w:type="dxa"/>
            <w:vAlign w:val="center"/>
          </w:tcPr>
          <w:p w14:paraId="08F6E52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w:t>
            </w:r>
          </w:p>
        </w:tc>
        <w:tc>
          <w:tcPr>
            <w:tcW w:w="1026" w:type="dxa"/>
            <w:vAlign w:val="center"/>
          </w:tcPr>
          <w:p w14:paraId="02C25281"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w:t>
            </w:r>
          </w:p>
        </w:tc>
        <w:tc>
          <w:tcPr>
            <w:tcW w:w="1120" w:type="dxa"/>
            <w:vAlign w:val="center"/>
          </w:tcPr>
          <w:p w14:paraId="73E3D4F5"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1ml</w:t>
            </w:r>
          </w:p>
        </w:tc>
      </w:tr>
      <w:tr w:rsidR="00D460AE" w:rsidRPr="00076670" w14:paraId="24EC9FC3" w14:textId="77777777" w:rsidTr="00076670">
        <w:trPr>
          <w:trHeight w:val="322"/>
          <w:jc w:val="center"/>
        </w:trPr>
        <w:tc>
          <w:tcPr>
            <w:tcW w:w="1681" w:type="dxa"/>
            <w:vAlign w:val="center"/>
          </w:tcPr>
          <w:p w14:paraId="3B887F5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11</w:t>
            </w:r>
          </w:p>
        </w:tc>
        <w:tc>
          <w:tcPr>
            <w:tcW w:w="2555" w:type="dxa"/>
            <w:vAlign w:val="center"/>
          </w:tcPr>
          <w:p w14:paraId="7E8ABEB1"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Vanilla</w:t>
            </w:r>
            <w:r w:rsidRPr="00076670">
              <w:rPr>
                <w:color w:val="000000"/>
                <w:spacing w:val="-15"/>
                <w:sz w:val="20"/>
                <w:szCs w:val="20"/>
              </w:rPr>
              <w:t xml:space="preserve"> </w:t>
            </w:r>
            <w:r w:rsidRPr="00076670">
              <w:rPr>
                <w:color w:val="000000"/>
                <w:spacing w:val="-2"/>
                <w:sz w:val="20"/>
                <w:szCs w:val="20"/>
              </w:rPr>
              <w:t>essence</w:t>
            </w:r>
          </w:p>
        </w:tc>
        <w:tc>
          <w:tcPr>
            <w:tcW w:w="994" w:type="dxa"/>
            <w:vAlign w:val="center"/>
          </w:tcPr>
          <w:p w14:paraId="2BC27713"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q.s</w:t>
            </w:r>
          </w:p>
        </w:tc>
        <w:tc>
          <w:tcPr>
            <w:tcW w:w="1026" w:type="dxa"/>
            <w:vAlign w:val="center"/>
          </w:tcPr>
          <w:p w14:paraId="5E5EE799"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q.s</w:t>
            </w:r>
          </w:p>
        </w:tc>
        <w:tc>
          <w:tcPr>
            <w:tcW w:w="1026" w:type="dxa"/>
            <w:vAlign w:val="center"/>
          </w:tcPr>
          <w:p w14:paraId="79E7AE4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q.s</w:t>
            </w:r>
          </w:p>
        </w:tc>
        <w:tc>
          <w:tcPr>
            <w:tcW w:w="1120" w:type="dxa"/>
            <w:vAlign w:val="center"/>
          </w:tcPr>
          <w:p w14:paraId="48169205"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q.s</w:t>
            </w:r>
          </w:p>
        </w:tc>
      </w:tr>
      <w:tr w:rsidR="00D460AE" w:rsidRPr="00076670" w14:paraId="64AB522F" w14:textId="77777777" w:rsidTr="00076670">
        <w:trPr>
          <w:trHeight w:val="430"/>
          <w:jc w:val="center"/>
        </w:trPr>
        <w:tc>
          <w:tcPr>
            <w:tcW w:w="1681" w:type="dxa"/>
            <w:vAlign w:val="center"/>
          </w:tcPr>
          <w:p w14:paraId="24B9BC6E"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12</w:t>
            </w:r>
          </w:p>
        </w:tc>
        <w:tc>
          <w:tcPr>
            <w:tcW w:w="2555" w:type="dxa"/>
            <w:vAlign w:val="center"/>
          </w:tcPr>
          <w:p w14:paraId="047E9178"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Polyvinyl</w:t>
            </w:r>
            <w:r w:rsidRPr="00076670">
              <w:rPr>
                <w:color w:val="000000"/>
                <w:spacing w:val="-9"/>
                <w:sz w:val="20"/>
                <w:szCs w:val="20"/>
              </w:rPr>
              <w:t xml:space="preserve"> </w:t>
            </w:r>
            <w:r w:rsidRPr="00076670">
              <w:rPr>
                <w:color w:val="000000"/>
                <w:spacing w:val="-2"/>
                <w:sz w:val="20"/>
                <w:szCs w:val="20"/>
              </w:rPr>
              <w:t>Alcohol</w:t>
            </w:r>
          </w:p>
        </w:tc>
        <w:tc>
          <w:tcPr>
            <w:tcW w:w="994" w:type="dxa"/>
            <w:vAlign w:val="center"/>
          </w:tcPr>
          <w:p w14:paraId="069F6357"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q.s</w:t>
            </w:r>
          </w:p>
        </w:tc>
        <w:tc>
          <w:tcPr>
            <w:tcW w:w="1026" w:type="dxa"/>
            <w:vAlign w:val="center"/>
          </w:tcPr>
          <w:p w14:paraId="2BB2C3A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q.s</w:t>
            </w:r>
          </w:p>
        </w:tc>
        <w:tc>
          <w:tcPr>
            <w:tcW w:w="1026" w:type="dxa"/>
            <w:vAlign w:val="center"/>
          </w:tcPr>
          <w:p w14:paraId="04094068"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q.s</w:t>
            </w:r>
          </w:p>
        </w:tc>
        <w:tc>
          <w:tcPr>
            <w:tcW w:w="1120" w:type="dxa"/>
            <w:vAlign w:val="center"/>
          </w:tcPr>
          <w:p w14:paraId="71F87B9E"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q.s</w:t>
            </w:r>
          </w:p>
        </w:tc>
      </w:tr>
      <w:tr w:rsidR="00D460AE" w:rsidRPr="00076670" w14:paraId="33124799" w14:textId="77777777" w:rsidTr="00076670">
        <w:trPr>
          <w:trHeight w:val="404"/>
          <w:jc w:val="center"/>
        </w:trPr>
        <w:tc>
          <w:tcPr>
            <w:tcW w:w="1681" w:type="dxa"/>
            <w:vAlign w:val="center"/>
          </w:tcPr>
          <w:p w14:paraId="1B7CC399"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13</w:t>
            </w:r>
          </w:p>
        </w:tc>
        <w:tc>
          <w:tcPr>
            <w:tcW w:w="2555" w:type="dxa"/>
            <w:vAlign w:val="center"/>
          </w:tcPr>
          <w:p w14:paraId="1C6874F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Sucrose</w:t>
            </w:r>
          </w:p>
        </w:tc>
        <w:tc>
          <w:tcPr>
            <w:tcW w:w="994" w:type="dxa"/>
            <w:vAlign w:val="center"/>
          </w:tcPr>
          <w:p w14:paraId="6E5CCE6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16.7gm</w:t>
            </w:r>
          </w:p>
        </w:tc>
        <w:tc>
          <w:tcPr>
            <w:tcW w:w="1026" w:type="dxa"/>
            <w:vAlign w:val="center"/>
          </w:tcPr>
          <w:p w14:paraId="7967EE21"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16.7gm</w:t>
            </w:r>
          </w:p>
        </w:tc>
        <w:tc>
          <w:tcPr>
            <w:tcW w:w="1026" w:type="dxa"/>
            <w:vAlign w:val="center"/>
          </w:tcPr>
          <w:p w14:paraId="23277395"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16.7gm</w:t>
            </w:r>
          </w:p>
        </w:tc>
        <w:tc>
          <w:tcPr>
            <w:tcW w:w="1120" w:type="dxa"/>
            <w:vAlign w:val="center"/>
          </w:tcPr>
          <w:p w14:paraId="3B89DDE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2"/>
                <w:sz w:val="20"/>
                <w:szCs w:val="20"/>
              </w:rPr>
              <w:t>16.7gm</w:t>
            </w:r>
          </w:p>
        </w:tc>
      </w:tr>
      <w:tr w:rsidR="00D460AE" w:rsidRPr="00076670" w14:paraId="28F29AAA" w14:textId="77777777" w:rsidTr="00076670">
        <w:trPr>
          <w:trHeight w:val="439"/>
          <w:jc w:val="center"/>
        </w:trPr>
        <w:tc>
          <w:tcPr>
            <w:tcW w:w="1681" w:type="dxa"/>
            <w:vAlign w:val="center"/>
          </w:tcPr>
          <w:p w14:paraId="5F51954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14</w:t>
            </w:r>
          </w:p>
        </w:tc>
        <w:tc>
          <w:tcPr>
            <w:tcW w:w="2555" w:type="dxa"/>
            <w:vAlign w:val="center"/>
          </w:tcPr>
          <w:p w14:paraId="57D845FE"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z w:val="20"/>
                <w:szCs w:val="20"/>
              </w:rPr>
              <w:t>Distilled</w:t>
            </w:r>
            <w:r w:rsidRPr="00076670">
              <w:rPr>
                <w:color w:val="000000"/>
                <w:spacing w:val="-7"/>
                <w:sz w:val="20"/>
                <w:szCs w:val="20"/>
              </w:rPr>
              <w:t xml:space="preserve"> </w:t>
            </w:r>
            <w:r w:rsidRPr="00076670">
              <w:rPr>
                <w:color w:val="000000"/>
                <w:spacing w:val="-2"/>
                <w:sz w:val="20"/>
                <w:szCs w:val="20"/>
              </w:rPr>
              <w:t>Water</w:t>
            </w:r>
          </w:p>
        </w:tc>
        <w:tc>
          <w:tcPr>
            <w:tcW w:w="994" w:type="dxa"/>
            <w:vAlign w:val="center"/>
          </w:tcPr>
          <w:p w14:paraId="1F01F785"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4"/>
                <w:sz w:val="20"/>
                <w:szCs w:val="20"/>
              </w:rPr>
              <w:t>25ml</w:t>
            </w:r>
          </w:p>
        </w:tc>
        <w:tc>
          <w:tcPr>
            <w:tcW w:w="1026" w:type="dxa"/>
            <w:vAlign w:val="center"/>
          </w:tcPr>
          <w:p w14:paraId="29815F6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4"/>
                <w:sz w:val="20"/>
                <w:szCs w:val="20"/>
              </w:rPr>
              <w:t>25ml</w:t>
            </w:r>
          </w:p>
        </w:tc>
        <w:tc>
          <w:tcPr>
            <w:tcW w:w="1026" w:type="dxa"/>
            <w:vAlign w:val="center"/>
          </w:tcPr>
          <w:p w14:paraId="633644E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4"/>
                <w:sz w:val="20"/>
                <w:szCs w:val="20"/>
              </w:rPr>
              <w:t>25ml</w:t>
            </w:r>
          </w:p>
        </w:tc>
        <w:tc>
          <w:tcPr>
            <w:tcW w:w="1120" w:type="dxa"/>
            <w:vAlign w:val="center"/>
          </w:tcPr>
          <w:p w14:paraId="33FDC16F"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4"/>
                <w:sz w:val="20"/>
                <w:szCs w:val="20"/>
              </w:rPr>
              <w:t>25ml</w:t>
            </w:r>
          </w:p>
        </w:tc>
      </w:tr>
    </w:tbl>
    <w:bookmarkStart w:id="7" w:name="6."/>
    <w:bookmarkEnd w:id="7"/>
    <w:p w14:paraId="7E242F57" w14:textId="77777777" w:rsidR="00D460AE" w:rsidRPr="00076670" w:rsidRDefault="00000000" w:rsidP="00076670">
      <w:pPr>
        <w:pStyle w:val="Heading4"/>
        <w:spacing w:line="276" w:lineRule="auto"/>
        <w:ind w:left="0" w:right="-29"/>
        <w:jc w:val="both"/>
        <w:rPr>
          <w:color w:val="000000"/>
          <w:sz w:val="20"/>
          <w:szCs w:val="20"/>
        </w:rPr>
      </w:pPr>
      <w:r w:rsidRPr="00076670">
        <w:rPr>
          <w:color w:val="000000"/>
          <w:sz w:val="20"/>
          <w:szCs w:val="20"/>
        </w:rPr>
        <w:fldChar w:fldCharType="begin"/>
      </w:r>
      <w:r w:rsidRPr="00076670">
        <w:rPr>
          <w:color w:val="000000"/>
          <w:sz w:val="20"/>
          <w:szCs w:val="20"/>
        </w:rPr>
        <w:instrText>ADDIN CSL_CITATION {"citationItems":[{"id":"ITEM-1","itemData":{"DOI":"10.35629/7781-0704174179","author":[{"dropping-particle":"","family":"Rathod","given":"Ms Pranita I","non-dropping-particle":"","parse-names":false,"suffix":""},{"dropping-particle":"V","family":"Deshpande","given":"Prof V","non-dropping-particle":"","parse-names":false,"suffix":""},{"dropping-particle":"","family":"Shaikh","given":"Shadab","non-dropping-particle":"","parse-names":false,"suffix":""},{"dropping-particle":"","family":"Pathare","given":"Ms Shreya B","non-dropping-particle":"","parse-names":false,"suffix":""},{"dropping-particle":"","family":"Nawghare","given":"Ms Shweta M","non-dropping-particle":"","parse-names":false,"suffix":""},{"dropping-particle":"","family":"S","given":"Ms Shweta","non-dropping-particle":"","parse-names":false,"suffix":""}],"container-title":"International Journal of Pharmaceutical Research and Applications","id":"ITEM-1","issue":"4","issued":{"date-parts":[["2022"]]},"page":"174-179","title":"Review on Formulation and Development of Oral Medicated Jellies","type":"article-journal","volume":"7"},"uris":["http://www.mendeley.com/documents/?uuid=59f0e4f3-b54b-4fc1-81a2-b2666b380be1"]}],"mendeley":{"formattedCitation":"(Rathod et al. 2022)","plainTextFormattedCitation":"(Rathod et al. 2022)","previouslyFormattedCitation":"(Rathod et al. 2022)"},"properties":{"noteIndex":0},"schema":"https://github.com/citation-style-language/schema/raw/master/csl-citation.json"}</w:instrText>
      </w:r>
      <w:r w:rsidRPr="00076670">
        <w:rPr>
          <w:color w:val="000000"/>
          <w:sz w:val="20"/>
          <w:szCs w:val="20"/>
        </w:rPr>
        <w:fldChar w:fldCharType="separate"/>
      </w:r>
      <w:r w:rsidRPr="00076670">
        <w:rPr>
          <w:b w:val="0"/>
          <w:noProof/>
          <w:color w:val="000000"/>
          <w:sz w:val="20"/>
          <w:szCs w:val="20"/>
        </w:rPr>
        <w:t>(Rathod et al. 2022)</w:t>
      </w:r>
      <w:r w:rsidRPr="00076670">
        <w:rPr>
          <w:color w:val="000000"/>
          <w:sz w:val="20"/>
          <w:szCs w:val="20"/>
        </w:rPr>
        <w:fldChar w:fldCharType="end"/>
      </w:r>
    </w:p>
    <w:p w14:paraId="4D3916AA" w14:textId="77777777" w:rsidR="00D460AE" w:rsidRPr="00076670" w:rsidRDefault="00000000" w:rsidP="00076670">
      <w:pPr>
        <w:pStyle w:val="Heading4"/>
        <w:spacing w:line="276" w:lineRule="auto"/>
        <w:ind w:left="0" w:right="-29"/>
        <w:jc w:val="both"/>
        <w:rPr>
          <w:color w:val="000000"/>
          <w:sz w:val="20"/>
          <w:szCs w:val="20"/>
        </w:rPr>
      </w:pPr>
      <w:r w:rsidRPr="00076670">
        <w:rPr>
          <w:noProof/>
          <w:color w:val="000000"/>
          <w:sz w:val="20"/>
          <w:szCs w:val="20"/>
        </w:rPr>
        <w:drawing>
          <wp:inline distT="0" distB="0" distL="0" distR="0" wp14:anchorId="23BCDDF9" wp14:editId="1F9C60F1">
            <wp:extent cx="1669774" cy="2158902"/>
            <wp:effectExtent l="0" t="0" r="6985" b="0"/>
            <wp:docPr id="102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6"/>
                    <pic:cNvPicPr/>
                  </pic:nvPicPr>
                  <pic:blipFill>
                    <a:blip r:embed="rId16" cstate="print"/>
                    <a:srcRect/>
                    <a:stretch/>
                  </pic:blipFill>
                  <pic:spPr>
                    <a:xfrm>
                      <a:off x="0" y="0"/>
                      <a:ext cx="1669774" cy="2158902"/>
                    </a:xfrm>
                    <a:prstGeom prst="rect">
                      <a:avLst/>
                    </a:prstGeom>
                  </pic:spPr>
                </pic:pic>
              </a:graphicData>
            </a:graphic>
          </wp:inline>
        </w:drawing>
      </w:r>
      <w:r w:rsidRPr="00076670">
        <w:rPr>
          <w:color w:val="000000"/>
          <w:sz w:val="20"/>
          <w:szCs w:val="20"/>
        </w:rPr>
        <w:t xml:space="preserve">        </w:t>
      </w:r>
      <w:r w:rsidRPr="00076670">
        <w:rPr>
          <w:noProof/>
          <w:color w:val="000000"/>
          <w:sz w:val="20"/>
          <w:szCs w:val="20"/>
        </w:rPr>
        <w:drawing>
          <wp:inline distT="0" distB="0" distL="0" distR="0" wp14:anchorId="4D3FBBF7" wp14:editId="211AD856">
            <wp:extent cx="2217533" cy="1828800"/>
            <wp:effectExtent l="3810" t="0" r="0" b="0"/>
            <wp:docPr id="1029"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7"/>
                    <pic:cNvPicPr/>
                  </pic:nvPicPr>
                  <pic:blipFill>
                    <a:blip r:embed="rId17" cstate="print"/>
                    <a:srcRect/>
                    <a:stretch/>
                  </pic:blipFill>
                  <pic:spPr>
                    <a:xfrm rot="5400000">
                      <a:off x="0" y="0"/>
                      <a:ext cx="2217533" cy="1828800"/>
                    </a:xfrm>
                    <a:prstGeom prst="rect">
                      <a:avLst/>
                    </a:prstGeom>
                  </pic:spPr>
                </pic:pic>
              </a:graphicData>
            </a:graphic>
          </wp:inline>
        </w:drawing>
      </w:r>
      <w:r w:rsidRPr="00076670">
        <w:rPr>
          <w:color w:val="000000"/>
          <w:sz w:val="20"/>
          <w:szCs w:val="20"/>
        </w:rPr>
        <w:t xml:space="preserve">             </w:t>
      </w:r>
      <w:r w:rsidRPr="00076670">
        <w:rPr>
          <w:noProof/>
          <w:color w:val="000000"/>
          <w:sz w:val="20"/>
          <w:szCs w:val="20"/>
        </w:rPr>
        <w:drawing>
          <wp:inline distT="0" distB="0" distL="0" distR="0" wp14:anchorId="1DEA1A69" wp14:editId="3903E657">
            <wp:extent cx="1622067" cy="2230844"/>
            <wp:effectExtent l="0" t="0" r="0" b="0"/>
            <wp:docPr id="103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8"/>
                    <pic:cNvPicPr/>
                  </pic:nvPicPr>
                  <pic:blipFill>
                    <a:blip r:embed="rId18" cstate="print"/>
                    <a:srcRect/>
                    <a:stretch/>
                  </pic:blipFill>
                  <pic:spPr>
                    <a:xfrm>
                      <a:off x="0" y="0"/>
                      <a:ext cx="1622067" cy="2230844"/>
                    </a:xfrm>
                    <a:prstGeom prst="rect">
                      <a:avLst/>
                    </a:prstGeom>
                  </pic:spPr>
                </pic:pic>
              </a:graphicData>
            </a:graphic>
          </wp:inline>
        </w:drawing>
      </w:r>
    </w:p>
    <w:p w14:paraId="22274D8E" w14:textId="77777777" w:rsidR="00D460AE" w:rsidRPr="00076670" w:rsidRDefault="00000000" w:rsidP="00076670">
      <w:pPr>
        <w:pStyle w:val="Heading4"/>
        <w:spacing w:line="276" w:lineRule="auto"/>
        <w:ind w:left="0" w:right="-29"/>
        <w:jc w:val="both"/>
        <w:rPr>
          <w:b w:val="0"/>
          <w:color w:val="000000"/>
          <w:sz w:val="20"/>
          <w:szCs w:val="20"/>
        </w:rPr>
      </w:pPr>
      <w:r w:rsidRPr="00076670">
        <w:rPr>
          <w:b w:val="0"/>
          <w:color w:val="000000"/>
          <w:sz w:val="20"/>
          <w:szCs w:val="20"/>
        </w:rPr>
        <w:t>Fig3: Preparation of jellies                     Fig4: Moulds                               Fig5: Prepared Jellies</w:t>
      </w:r>
    </w:p>
    <w:p w14:paraId="746645AD" w14:textId="77777777" w:rsidR="00076670" w:rsidRDefault="00076670" w:rsidP="00076670">
      <w:pPr>
        <w:pStyle w:val="Heading2"/>
        <w:spacing w:before="0"/>
        <w:ind w:right="-29"/>
        <w:jc w:val="both"/>
        <w:rPr>
          <w:rFonts w:ascii="Times New Roman" w:hAnsi="Times New Roman" w:cs="Times New Roman"/>
          <w:color w:val="000000"/>
          <w:spacing w:val="-6"/>
          <w:sz w:val="20"/>
          <w:szCs w:val="20"/>
        </w:rPr>
      </w:pPr>
    </w:p>
    <w:p w14:paraId="128BE57A" w14:textId="77777777" w:rsidR="00076670" w:rsidRDefault="00076670" w:rsidP="00076670">
      <w:pPr>
        <w:pStyle w:val="Heading2"/>
        <w:spacing w:before="0"/>
        <w:ind w:right="-29"/>
        <w:jc w:val="both"/>
        <w:rPr>
          <w:rFonts w:ascii="Times New Roman" w:hAnsi="Times New Roman" w:cs="Times New Roman"/>
          <w:color w:val="000000"/>
          <w:spacing w:val="-6"/>
          <w:sz w:val="20"/>
          <w:szCs w:val="20"/>
        </w:rPr>
        <w:sectPr w:rsidR="00076670" w:rsidSect="00076670">
          <w:type w:val="continuous"/>
          <w:pgSz w:w="11906" w:h="16838" w:code="9"/>
          <w:pgMar w:top="1440" w:right="1077" w:bottom="1440" w:left="1077" w:header="658" w:footer="974" w:gutter="0"/>
          <w:cols w:space="720"/>
        </w:sectPr>
      </w:pPr>
    </w:p>
    <w:p w14:paraId="58D6F33C" w14:textId="1CC2B353" w:rsidR="00D460AE" w:rsidRPr="00076670" w:rsidRDefault="00000000" w:rsidP="00076670">
      <w:pPr>
        <w:pStyle w:val="Heading2"/>
        <w:spacing w:before="0"/>
        <w:ind w:right="-29"/>
        <w:jc w:val="both"/>
        <w:rPr>
          <w:rFonts w:ascii="Times New Roman" w:hAnsi="Times New Roman" w:cs="Times New Roman"/>
          <w:color w:val="000000"/>
          <w:spacing w:val="-2"/>
          <w:sz w:val="20"/>
          <w:szCs w:val="20"/>
        </w:rPr>
      </w:pPr>
      <w:r w:rsidRPr="00076670">
        <w:rPr>
          <w:rFonts w:ascii="Times New Roman" w:hAnsi="Times New Roman" w:cs="Times New Roman"/>
          <w:color w:val="000000"/>
          <w:spacing w:val="-6"/>
          <w:sz w:val="20"/>
          <w:szCs w:val="20"/>
        </w:rPr>
        <w:lastRenderedPageBreak/>
        <w:t>Formulation</w:t>
      </w:r>
      <w:r w:rsidRPr="00076670">
        <w:rPr>
          <w:rFonts w:ascii="Times New Roman" w:hAnsi="Times New Roman" w:cs="Times New Roman"/>
          <w:color w:val="000000"/>
          <w:spacing w:val="-1"/>
          <w:sz w:val="20"/>
          <w:szCs w:val="20"/>
        </w:rPr>
        <w:t xml:space="preserve"> </w:t>
      </w:r>
      <w:r w:rsidRPr="00076670">
        <w:rPr>
          <w:rFonts w:ascii="Times New Roman" w:hAnsi="Times New Roman" w:cs="Times New Roman"/>
          <w:color w:val="000000"/>
          <w:spacing w:val="-2"/>
          <w:sz w:val="20"/>
          <w:szCs w:val="20"/>
        </w:rPr>
        <w:t>Evaluation:</w:t>
      </w:r>
    </w:p>
    <w:p w14:paraId="493E3CE8" w14:textId="77777777" w:rsidR="00D460AE" w:rsidRPr="00076670" w:rsidRDefault="00000000" w:rsidP="00076670">
      <w:pPr>
        <w:pStyle w:val="Heading2"/>
        <w:spacing w:before="0"/>
        <w:ind w:right="-29"/>
        <w:jc w:val="both"/>
        <w:rPr>
          <w:rFonts w:ascii="Times New Roman" w:hAnsi="Times New Roman" w:cs="Times New Roman"/>
          <w:color w:val="000000"/>
          <w:sz w:val="20"/>
          <w:szCs w:val="20"/>
        </w:rPr>
      </w:pPr>
      <w:r w:rsidRPr="00076670">
        <w:rPr>
          <w:rFonts w:ascii="Times New Roman" w:hAnsi="Times New Roman" w:cs="Times New Roman"/>
          <w:color w:val="000000"/>
          <w:sz w:val="20"/>
          <w:szCs w:val="20"/>
        </w:rPr>
        <w:t>In-vitro</w:t>
      </w:r>
      <w:r w:rsidRPr="00076670">
        <w:rPr>
          <w:rFonts w:ascii="Times New Roman" w:hAnsi="Times New Roman" w:cs="Times New Roman"/>
          <w:color w:val="000000"/>
          <w:spacing w:val="5"/>
          <w:sz w:val="20"/>
          <w:szCs w:val="20"/>
        </w:rPr>
        <w:t xml:space="preserve"> </w:t>
      </w:r>
      <w:r w:rsidRPr="00076670">
        <w:rPr>
          <w:rFonts w:ascii="Times New Roman" w:hAnsi="Times New Roman" w:cs="Times New Roman"/>
          <w:color w:val="000000"/>
          <w:sz w:val="20"/>
          <w:szCs w:val="20"/>
        </w:rPr>
        <w:t>evaluation</w:t>
      </w:r>
      <w:r w:rsidRPr="00076670">
        <w:rPr>
          <w:rFonts w:ascii="Times New Roman" w:hAnsi="Times New Roman" w:cs="Times New Roman"/>
          <w:color w:val="000000"/>
          <w:spacing w:val="-7"/>
          <w:sz w:val="20"/>
          <w:szCs w:val="20"/>
        </w:rPr>
        <w:t xml:space="preserve"> </w:t>
      </w:r>
      <w:r w:rsidRPr="00076670">
        <w:rPr>
          <w:rFonts w:ascii="Times New Roman" w:hAnsi="Times New Roman" w:cs="Times New Roman"/>
          <w:color w:val="000000"/>
          <w:sz w:val="20"/>
          <w:szCs w:val="20"/>
        </w:rPr>
        <w:t>for</w:t>
      </w:r>
      <w:r w:rsidRPr="00076670">
        <w:rPr>
          <w:rFonts w:ascii="Times New Roman" w:hAnsi="Times New Roman" w:cs="Times New Roman"/>
          <w:color w:val="000000"/>
          <w:spacing w:val="-6"/>
          <w:sz w:val="20"/>
          <w:szCs w:val="20"/>
        </w:rPr>
        <w:t xml:space="preserve"> </w:t>
      </w:r>
      <w:r w:rsidRPr="00076670">
        <w:rPr>
          <w:rFonts w:ascii="Times New Roman" w:hAnsi="Times New Roman" w:cs="Times New Roman"/>
          <w:color w:val="000000"/>
          <w:sz w:val="20"/>
          <w:szCs w:val="20"/>
        </w:rPr>
        <w:t>the</w:t>
      </w:r>
      <w:r w:rsidRPr="00076670">
        <w:rPr>
          <w:rFonts w:ascii="Times New Roman" w:hAnsi="Times New Roman" w:cs="Times New Roman"/>
          <w:color w:val="000000"/>
          <w:spacing w:val="-3"/>
          <w:sz w:val="20"/>
          <w:szCs w:val="20"/>
        </w:rPr>
        <w:t xml:space="preserve"> </w:t>
      </w:r>
      <w:r w:rsidRPr="00076670">
        <w:rPr>
          <w:rFonts w:ascii="Times New Roman" w:hAnsi="Times New Roman" w:cs="Times New Roman"/>
          <w:color w:val="000000"/>
          <w:spacing w:val="-2"/>
          <w:sz w:val="20"/>
          <w:szCs w:val="20"/>
        </w:rPr>
        <w:t>jellies.</w:t>
      </w:r>
      <w:r w:rsidRPr="00076670">
        <w:rPr>
          <w:rFonts w:ascii="Times New Roman" w:hAnsi="Times New Roman" w:cs="Times New Roman"/>
          <w:color w:val="000000"/>
          <w:sz w:val="20"/>
          <w:szCs w:val="20"/>
        </w:rPr>
        <w:tab/>
      </w:r>
    </w:p>
    <w:p w14:paraId="73B370A3" w14:textId="77777777" w:rsidR="00D460AE" w:rsidRPr="00076670" w:rsidRDefault="00000000" w:rsidP="00076670">
      <w:pPr>
        <w:pStyle w:val="Heading5"/>
        <w:keepNext w:val="0"/>
        <w:keepLines w:val="0"/>
        <w:widowControl w:val="0"/>
        <w:numPr>
          <w:ilvl w:val="0"/>
          <w:numId w:val="10"/>
        </w:numPr>
        <w:tabs>
          <w:tab w:val="left" w:pos="930"/>
        </w:tabs>
        <w:autoSpaceDE w:val="0"/>
        <w:autoSpaceDN w:val="0"/>
        <w:spacing w:before="0"/>
        <w:ind w:left="0" w:right="-29" w:firstLine="0"/>
        <w:jc w:val="both"/>
        <w:rPr>
          <w:rFonts w:ascii="Times New Roman" w:hAnsi="Times New Roman" w:cs="Times New Roman"/>
          <w:color w:val="000000"/>
          <w:sz w:val="20"/>
          <w:szCs w:val="20"/>
        </w:rPr>
      </w:pPr>
      <w:r w:rsidRPr="00076670">
        <w:rPr>
          <w:rFonts w:ascii="Times New Roman" w:hAnsi="Times New Roman" w:cs="Times New Roman"/>
          <w:color w:val="000000"/>
          <w:sz w:val="20"/>
          <w:szCs w:val="20"/>
        </w:rPr>
        <w:t>Physical</w:t>
      </w:r>
      <w:r w:rsidRPr="00076670">
        <w:rPr>
          <w:rFonts w:ascii="Times New Roman" w:hAnsi="Times New Roman" w:cs="Times New Roman"/>
          <w:color w:val="000000"/>
          <w:spacing w:val="-5"/>
          <w:sz w:val="20"/>
          <w:szCs w:val="20"/>
        </w:rPr>
        <w:t xml:space="preserve"> </w:t>
      </w:r>
      <w:r w:rsidRPr="00076670">
        <w:rPr>
          <w:rFonts w:ascii="Times New Roman" w:hAnsi="Times New Roman" w:cs="Times New Roman"/>
          <w:color w:val="000000"/>
          <w:spacing w:val="-2"/>
          <w:sz w:val="20"/>
          <w:szCs w:val="20"/>
        </w:rPr>
        <w:t>Appearance:</w:t>
      </w:r>
    </w:p>
    <w:p w14:paraId="45F50DAF" w14:textId="77777777" w:rsidR="00D460AE" w:rsidRDefault="00000000" w:rsidP="00076670">
      <w:pPr>
        <w:pStyle w:val="Heading5"/>
        <w:keepNext w:val="0"/>
        <w:keepLines w:val="0"/>
        <w:widowControl w:val="0"/>
        <w:tabs>
          <w:tab w:val="left" w:pos="930"/>
        </w:tabs>
        <w:autoSpaceDE w:val="0"/>
        <w:autoSpaceDN w:val="0"/>
        <w:spacing w:before="0"/>
        <w:ind w:right="-29"/>
        <w:jc w:val="both"/>
        <w:rPr>
          <w:rFonts w:ascii="Times New Roman" w:hAnsi="Times New Roman" w:cs="Times New Roman"/>
          <w:color w:val="000000"/>
          <w:sz w:val="20"/>
          <w:szCs w:val="20"/>
        </w:rPr>
      </w:pPr>
      <w:r w:rsidRPr="00076670">
        <w:rPr>
          <w:rFonts w:ascii="Times New Roman" w:hAnsi="Times New Roman" w:cs="Times New Roman"/>
          <w:color w:val="000000"/>
          <w:sz w:val="20"/>
          <w:szCs w:val="20"/>
        </w:rPr>
        <w:t xml:space="preserve">The physical examination of the medicated jelly focused on its visual characteristics such as color, texture, and odour. These assessments are crucial for ensuring that patients find the product appealing and are willing to use it. </w:t>
      </w:r>
      <w:r w:rsidRPr="00076670">
        <w:rPr>
          <w:rFonts w:ascii="Times New Roman" w:hAnsi="Times New Roman" w:cs="Times New Roman"/>
          <w:color w:val="000000"/>
          <w:sz w:val="20"/>
          <w:szCs w:val="20"/>
        </w:rPr>
        <w:fldChar w:fldCharType="begin"/>
      </w:r>
      <w:r w:rsidRPr="00076670">
        <w:rPr>
          <w:rFonts w:ascii="Times New Roman" w:hAnsi="Times New Roman" w:cs="Times New Roman"/>
          <w:color w:val="000000"/>
          <w:sz w:val="20"/>
          <w:szCs w:val="20"/>
        </w:rPr>
        <w:instrText>ADDIN CSL_CITATION {"citationItems":[{"id":"ITEM-1","itemData":{"DOI":"10.13040/IJPSR.0975-8232.11(12).6251-59","ISSN":"2320-5148","abstract":"The objectives of the present investigation were to formulate and evaluate of Medicated oral jelly containing Trazadone HCl for the treatment of depression. Many psychotic patients are medicinal phobic who are afraid of taking medicine, so this preparation is most beneficial over that type of fear. Trazadone HCl antidepressant drugs incorporate in jelly and give to those patients; in this way, we could administer medicine to them without bringing this to their attention. Jellies are prepared by heating and congealing methods by dispersing gelling agents in water and evaluated for their physicochemical parameters like appearance, stickiness, pH, viscosity, Spreadability, stability studies, drug release, and content uniformity. All batches (F1-F8) of medicated jelly showed acceptable and comparable appearance, pH, viscosity, Spreadability, stability studies, drug release, and content uniformity. The viscosity range was found to be 53305 to 61731cps. The drug content of F1 to F8 formulations was found to be in the range of 88.42 to 98.95%. F7 batch prepared with gelatin + xanthan gum combination shows 98.95%. drug release.","author":[{"dropping-particle":"","family":"Kadam","given":"Vaishali S","non-dropping-particle":"","parse-names":false,"suffix":""},{"dropping-particle":"","family":"Kendre","given":"Jayshri","non-dropping-particle":"","parse-names":false,"suffix":""},{"dropping-particle":"","family":"Shendarkar","given":"G R","non-dropping-particle":"","parse-names":false,"suffix":""},{"dropping-particle":"","family":"Kadam","given":"S Sangita","non-dropping-particle":"","parse-names":false,"suffix":""}],"container-title":"International Journal of Pharmaceutical Sciences and Research","id":"ITEM-1","issue":"12","issued":{"date-parts":[["2020"]]},"page":"6251","title":"Formulation and Evaluation of Medicated Oral Jelly of Trazadone Hydrochloride","type":"article-journal","volume":"11"},"uris":["http://www.mendeley.com/documents/?uuid=c02b226c-629f-4515-bc70-76b3cfbcf787"]}],"mendeley":{"formattedCitation":"(Kadam et al. 2020)","plainTextFormattedCitation":"(Kadam et al. 2020)","previouslyFormattedCitation":"(Kadam et al. 2020)"},"properties":{"noteIndex":0},"schema":"https://github.com/citation-style-language/schema/raw/master/csl-citation.json"}</w:instrText>
      </w:r>
      <w:r w:rsidRPr="00076670">
        <w:rPr>
          <w:rFonts w:ascii="Times New Roman" w:hAnsi="Times New Roman" w:cs="Times New Roman"/>
          <w:color w:val="000000"/>
          <w:sz w:val="20"/>
          <w:szCs w:val="20"/>
        </w:rPr>
        <w:fldChar w:fldCharType="separate"/>
      </w:r>
      <w:r w:rsidRPr="00076670">
        <w:rPr>
          <w:rFonts w:ascii="Times New Roman" w:hAnsi="Times New Roman" w:cs="Times New Roman"/>
          <w:noProof/>
          <w:color w:val="000000"/>
          <w:sz w:val="20"/>
          <w:szCs w:val="20"/>
        </w:rPr>
        <w:t>(Kadam et al. 2020)</w:t>
      </w:r>
      <w:r w:rsidRPr="00076670">
        <w:rPr>
          <w:rFonts w:ascii="Times New Roman" w:hAnsi="Times New Roman" w:cs="Times New Roman"/>
          <w:color w:val="000000"/>
          <w:sz w:val="20"/>
          <w:szCs w:val="20"/>
        </w:rPr>
        <w:fldChar w:fldCharType="end"/>
      </w:r>
      <w:r w:rsidRPr="00076670">
        <w:rPr>
          <w:rFonts w:ascii="Times New Roman" w:hAnsi="Times New Roman" w:cs="Times New Roman"/>
          <w:color w:val="000000"/>
          <w:sz w:val="20"/>
          <w:szCs w:val="20"/>
        </w:rPr>
        <w:t>.</w:t>
      </w:r>
    </w:p>
    <w:p w14:paraId="5C4F5787" w14:textId="77777777" w:rsidR="00076670" w:rsidRPr="00076670" w:rsidRDefault="00076670" w:rsidP="00076670">
      <w:pPr>
        <w:spacing w:after="0"/>
        <w:rPr>
          <w:sz w:val="16"/>
          <w:szCs w:val="16"/>
        </w:rPr>
      </w:pPr>
    </w:p>
    <w:p w14:paraId="651ABEC6" w14:textId="77777777" w:rsidR="00D460AE" w:rsidRPr="00076670" w:rsidRDefault="00000000" w:rsidP="00076670">
      <w:pPr>
        <w:pStyle w:val="Heading5"/>
        <w:keepNext w:val="0"/>
        <w:keepLines w:val="0"/>
        <w:widowControl w:val="0"/>
        <w:numPr>
          <w:ilvl w:val="0"/>
          <w:numId w:val="10"/>
        </w:numPr>
        <w:tabs>
          <w:tab w:val="left" w:pos="930"/>
        </w:tabs>
        <w:autoSpaceDE w:val="0"/>
        <w:autoSpaceDN w:val="0"/>
        <w:spacing w:before="0"/>
        <w:ind w:left="0" w:right="-29" w:firstLine="0"/>
        <w:jc w:val="both"/>
        <w:rPr>
          <w:rFonts w:ascii="Times New Roman" w:hAnsi="Times New Roman" w:cs="Times New Roman"/>
          <w:color w:val="000000"/>
          <w:sz w:val="20"/>
          <w:szCs w:val="20"/>
        </w:rPr>
      </w:pPr>
      <w:r w:rsidRPr="00076670">
        <w:rPr>
          <w:rFonts w:ascii="Times New Roman" w:hAnsi="Times New Roman" w:cs="Times New Roman"/>
          <w:color w:val="000000"/>
          <w:spacing w:val="-2"/>
          <w:sz w:val="20"/>
          <w:szCs w:val="20"/>
        </w:rPr>
        <w:t>Stickiness:</w:t>
      </w:r>
    </w:p>
    <w:p w14:paraId="4E15A7B7" w14:textId="77777777" w:rsidR="00D460AE" w:rsidRDefault="00000000" w:rsidP="00076670">
      <w:pPr>
        <w:pStyle w:val="Heading5"/>
        <w:keepNext w:val="0"/>
        <w:keepLines w:val="0"/>
        <w:widowControl w:val="0"/>
        <w:tabs>
          <w:tab w:val="left" w:pos="930"/>
        </w:tabs>
        <w:autoSpaceDE w:val="0"/>
        <w:autoSpaceDN w:val="0"/>
        <w:spacing w:before="0"/>
        <w:ind w:right="-29"/>
        <w:jc w:val="both"/>
        <w:rPr>
          <w:rFonts w:ascii="Times New Roman" w:hAnsi="Times New Roman" w:cs="Times New Roman"/>
          <w:color w:val="000000"/>
          <w:spacing w:val="-2"/>
          <w:sz w:val="20"/>
          <w:szCs w:val="20"/>
        </w:rPr>
      </w:pPr>
      <w:r w:rsidRPr="00076670">
        <w:rPr>
          <w:rFonts w:ascii="Times New Roman" w:hAnsi="Times New Roman" w:cs="Times New Roman"/>
          <w:color w:val="000000"/>
          <w:spacing w:val="-2"/>
          <w:sz w:val="20"/>
          <w:szCs w:val="20"/>
        </w:rPr>
        <w:t xml:space="preserve">The texture of the medicated jelly, concerning stickiness and grittiness, was assessed by visually examining. The product was gently rubbed between two fingers to assess its characteristics. </w:t>
      </w:r>
      <w:r w:rsidRPr="00076670">
        <w:rPr>
          <w:rFonts w:ascii="Times New Roman" w:hAnsi="Times New Roman" w:cs="Times New Roman"/>
          <w:color w:val="000000"/>
          <w:spacing w:val="-2"/>
          <w:sz w:val="20"/>
          <w:szCs w:val="20"/>
        </w:rPr>
        <w:fldChar w:fldCharType="begin"/>
      </w:r>
      <w:r w:rsidRPr="00076670">
        <w:rPr>
          <w:rFonts w:ascii="Times New Roman" w:hAnsi="Times New Roman" w:cs="Times New Roman"/>
          <w:color w:val="000000"/>
          <w:spacing w:val="-2"/>
          <w:sz w:val="20"/>
          <w:szCs w:val="20"/>
        </w:rPr>
        <w:instrText>ADDIN CSL_CITATION {"citationItems":[{"id":"ITEM-1","itemData":{"author":[{"dropping-particle":"","family":"Ambekar","given":"Anand","non-dropping-particle":"","parse-names":false,"suffix":""},{"dropping-particle":"","family":"S","given":"Vinay B Shinde Pratima","non-dropping-particle":"","parse-names":false,"suffix":""},{"dropping-particle":"","family":"K","given":"Purushotham Rao","non-dropping-particle":"","parse-names":false,"suffix":""}],"container-title":"British Journal of Research","id":"ITEM-1","issue":"4","issued":{"date-parts":[["2015"]]},"page":"122-131","title":"Preclinical Study of Ketoconazole Ororetentive Medicated Jelly","type":"article-journal","volume":"2"},"uris":["http://www.mendeley.com/documents/?uuid=f678a4ed-0fd3-4d09-9d45-a4b72c723f1b"]}],"mendeley":{"formattedCitation":"(Ambekar, S, and K 2015)","plainTextFormattedCitation":"(Ambekar, S, and K 2015)","previouslyFormattedCitation":"(Ambekar, S, and K 2015)"},"properties":{"noteIndex":0},"schema":"https://github.com/citation-style-language/schema/raw/master/csl-citation.json"}</w:instrText>
      </w:r>
      <w:r w:rsidRPr="00076670">
        <w:rPr>
          <w:rFonts w:ascii="Times New Roman" w:hAnsi="Times New Roman" w:cs="Times New Roman"/>
          <w:color w:val="000000"/>
          <w:spacing w:val="-2"/>
          <w:sz w:val="20"/>
          <w:szCs w:val="20"/>
        </w:rPr>
        <w:fldChar w:fldCharType="separate"/>
      </w:r>
      <w:r w:rsidRPr="00076670">
        <w:rPr>
          <w:rFonts w:ascii="Times New Roman" w:hAnsi="Times New Roman" w:cs="Times New Roman"/>
          <w:noProof/>
          <w:color w:val="000000"/>
          <w:spacing w:val="-2"/>
          <w:sz w:val="20"/>
          <w:szCs w:val="20"/>
        </w:rPr>
        <w:t>(Ambekar, S, and K 2015)</w:t>
      </w:r>
      <w:r w:rsidRPr="00076670">
        <w:rPr>
          <w:rFonts w:ascii="Times New Roman" w:hAnsi="Times New Roman" w:cs="Times New Roman"/>
          <w:color w:val="000000"/>
          <w:spacing w:val="-2"/>
          <w:sz w:val="20"/>
          <w:szCs w:val="20"/>
        </w:rPr>
        <w:fldChar w:fldCharType="end"/>
      </w:r>
      <w:r w:rsidRPr="00076670">
        <w:rPr>
          <w:rFonts w:ascii="Times New Roman" w:hAnsi="Times New Roman" w:cs="Times New Roman"/>
          <w:color w:val="000000"/>
          <w:spacing w:val="-2"/>
          <w:sz w:val="20"/>
          <w:szCs w:val="20"/>
        </w:rPr>
        <w:t>.</w:t>
      </w:r>
    </w:p>
    <w:p w14:paraId="55B9E262" w14:textId="77777777" w:rsidR="00076670" w:rsidRPr="00076670" w:rsidRDefault="00076670" w:rsidP="00076670">
      <w:pPr>
        <w:spacing w:after="0"/>
        <w:rPr>
          <w:sz w:val="16"/>
          <w:szCs w:val="16"/>
        </w:rPr>
      </w:pPr>
    </w:p>
    <w:p w14:paraId="2FD00600" w14:textId="77777777" w:rsidR="00D460AE" w:rsidRPr="00076670" w:rsidRDefault="00000000" w:rsidP="00076670">
      <w:pPr>
        <w:pStyle w:val="Heading5"/>
        <w:keepNext w:val="0"/>
        <w:keepLines w:val="0"/>
        <w:widowControl w:val="0"/>
        <w:numPr>
          <w:ilvl w:val="0"/>
          <w:numId w:val="10"/>
        </w:numPr>
        <w:tabs>
          <w:tab w:val="left" w:pos="1108"/>
        </w:tabs>
        <w:autoSpaceDE w:val="0"/>
        <w:autoSpaceDN w:val="0"/>
        <w:spacing w:before="0"/>
        <w:ind w:left="0" w:right="-29" w:firstLine="0"/>
        <w:jc w:val="both"/>
        <w:rPr>
          <w:rFonts w:ascii="Times New Roman" w:hAnsi="Times New Roman" w:cs="Times New Roman"/>
          <w:color w:val="000000"/>
          <w:sz w:val="20"/>
          <w:szCs w:val="20"/>
        </w:rPr>
      </w:pPr>
      <w:r w:rsidRPr="00076670">
        <w:rPr>
          <w:rFonts w:ascii="Times New Roman" w:hAnsi="Times New Roman" w:cs="Times New Roman"/>
          <w:color w:val="000000"/>
          <w:sz w:val="20"/>
          <w:szCs w:val="20"/>
        </w:rPr>
        <w:t>In-Vitro</w:t>
      </w:r>
      <w:r w:rsidRPr="00076670">
        <w:rPr>
          <w:rFonts w:ascii="Times New Roman" w:hAnsi="Times New Roman" w:cs="Times New Roman"/>
          <w:color w:val="000000"/>
          <w:spacing w:val="-5"/>
          <w:sz w:val="20"/>
          <w:szCs w:val="20"/>
        </w:rPr>
        <w:t xml:space="preserve"> </w:t>
      </w:r>
      <w:r w:rsidRPr="00076670">
        <w:rPr>
          <w:rFonts w:ascii="Times New Roman" w:hAnsi="Times New Roman" w:cs="Times New Roman"/>
          <w:color w:val="000000"/>
          <w:spacing w:val="-2"/>
          <w:sz w:val="20"/>
          <w:szCs w:val="20"/>
        </w:rPr>
        <w:t>Dissolution:</w:t>
      </w:r>
    </w:p>
    <w:p w14:paraId="6F5ABA14" w14:textId="7D5138D8" w:rsidR="00D460AE" w:rsidRPr="00076670" w:rsidRDefault="00000000" w:rsidP="00076670">
      <w:pPr>
        <w:pStyle w:val="BodyText"/>
        <w:spacing w:line="276" w:lineRule="auto"/>
        <w:ind w:right="-29"/>
        <w:jc w:val="both"/>
        <w:rPr>
          <w:sz w:val="20"/>
          <w:szCs w:val="20"/>
        </w:rPr>
      </w:pPr>
      <w:r w:rsidRPr="00076670">
        <w:rPr>
          <w:color w:val="000000"/>
          <w:spacing w:val="-2"/>
          <w:sz w:val="20"/>
          <w:szCs w:val="20"/>
        </w:rPr>
        <w:t>An in-vitro dissolution study was conducted using a USP paddle-type apparatus, utilizing a pH 6.8 phosphate buffer solution as the dissolution medium (900ml), maintained at a specified temperature of (37 °C ± 0.5 °C) and stirred at 100 rpm. Samples of 5 ml were withdrawn at intervals of 5, 10, 15, 20, and 25 minutes, and replaced with an equal volume of pH 6.8 phosphate buffer solution to maintain sink conditions. These withdrawn samples were diluted to 10 ml in volumetric flasks with the same buffer solution and analyzed for drug content using a UV-spectrophotometer at the wavelength of maximum absorbance (λmax) of 270 nm. The absorbance readings were recorded to calculate the percentage of drug release over time.</w:t>
      </w:r>
      <w:r w:rsidRPr="00076670">
        <w:rPr>
          <w:color w:val="000000"/>
          <w:spacing w:val="-2"/>
          <w:sz w:val="20"/>
          <w:szCs w:val="20"/>
        </w:rPr>
        <w:fldChar w:fldCharType="begin"/>
      </w:r>
      <w:r w:rsidRPr="00076670">
        <w:rPr>
          <w:color w:val="000000"/>
          <w:spacing w:val="-2"/>
          <w:sz w:val="20"/>
          <w:szCs w:val="20"/>
        </w:rPr>
        <w:instrText>ADDIN CSL_CITATION {"citationItems":[{"id":"ITEM-1","itemData":{"abstract":"Oral medicated jelly is a novel oral dosage form. There is need to develop such dosage form in order to overcome difficulties faced by paediatric and geriatric patients in administration of conventional dosage form. It is highly beneficial for individuals with swallowing difficulties. Oral jelly can be chewed effortlessly &amp; dissolves easily in saliva without any need of water for ingestion making it unique from other dosage forms. Further patients get fascinated by its appearance &amp; soft texture resulting in high patient acceptance. In the present research work Domperidone jelly was formulated to provide faster relief from nausea &amp; vomiting compared to other dosage forms. Jelly formulation is prepared using sucrose, gelatine, citric acid, sodium citrate, sodium benzoate by heating &amp; congealing method. It is evaluated for appearance, weight variation, pH, synergesis, drug content, &amp; dissolution. Optimized formulation has shown drug release of 98.39% in 25minutes.Medicated jelly (F5) has shown effective drug release compared to the soft chew formulation (F9). The stability studies on optimized formulation (F5) was carried out as per ICH guidelines &amp; has shown acceptable result.","author":[{"dropping-particle":"","family":"Mittapally","given":"Sirisha","non-dropping-particle":"","parse-names":false,"suffix":""},{"dropping-particle":"","family":"Taranum","given":"Ruheena","non-dropping-particle":"","parse-names":false,"suffix":""}],"container-title":"International Journal of Pharmacy and Biological Sciences","id":"ITEM-1","issue":"4","issued":{"date-parts":[["2018"]]},"page":"870-878","title":"Formulation and Evaluation of Domperidone Oral Jelly","type":"article-journal","volume":"8"},"uris":["http://www.mendeley.com/documents/?uuid=c755d6a2-8d13-4276-a9d2-722f4a5622b3"]}],"mendeley":{"formattedCitation":"(Mittapally and Taranum 2018)","plainTextFormattedCitation":"(Mittapally and Taranum 2018)","previouslyFormattedCitation":"(Mittapally and Taranum 2018)"},"properties":{"noteIndex":0},"schema":"https://github.com/citation-style-language/schema/raw/master/csl-citation.json"}</w:instrText>
      </w:r>
      <w:r w:rsidRPr="00076670">
        <w:rPr>
          <w:color w:val="000000"/>
          <w:spacing w:val="-2"/>
          <w:sz w:val="20"/>
          <w:szCs w:val="20"/>
        </w:rPr>
        <w:fldChar w:fldCharType="separate"/>
      </w:r>
      <w:r w:rsidRPr="00076670">
        <w:rPr>
          <w:noProof/>
          <w:color w:val="000000"/>
          <w:spacing w:val="-2"/>
          <w:sz w:val="20"/>
          <w:szCs w:val="20"/>
        </w:rPr>
        <w:t>(Mittapally and Taranum 2018)</w:t>
      </w:r>
      <w:r w:rsidRPr="00076670">
        <w:rPr>
          <w:color w:val="000000"/>
          <w:spacing w:val="-2"/>
          <w:sz w:val="20"/>
          <w:szCs w:val="20"/>
        </w:rPr>
        <w:fldChar w:fldCharType="end"/>
      </w:r>
      <w:r w:rsidRPr="00076670">
        <w:rPr>
          <w:color w:val="000000"/>
          <w:spacing w:val="-2"/>
          <w:sz w:val="20"/>
          <w:szCs w:val="20"/>
        </w:rPr>
        <w:t>.</w:t>
      </w:r>
      <w:r w:rsidRPr="00076670">
        <w:rPr>
          <w:color w:val="000000"/>
          <w:sz w:val="20"/>
          <w:szCs w:val="20"/>
        </w:rPr>
        <w:t>Preparation</w:t>
      </w:r>
      <w:r w:rsidRPr="00076670">
        <w:rPr>
          <w:color w:val="000000"/>
          <w:spacing w:val="-2"/>
          <w:sz w:val="20"/>
          <w:szCs w:val="20"/>
        </w:rPr>
        <w:t xml:space="preserve"> </w:t>
      </w:r>
      <w:r w:rsidRPr="00076670">
        <w:rPr>
          <w:color w:val="000000"/>
          <w:sz w:val="20"/>
          <w:szCs w:val="20"/>
        </w:rPr>
        <w:t>of</w:t>
      </w:r>
      <w:r w:rsidRPr="00076670">
        <w:rPr>
          <w:color w:val="000000"/>
          <w:spacing w:val="-6"/>
          <w:sz w:val="20"/>
          <w:szCs w:val="20"/>
        </w:rPr>
        <w:t xml:space="preserve"> </w:t>
      </w:r>
      <w:r w:rsidRPr="00076670">
        <w:rPr>
          <w:color w:val="000000"/>
          <w:sz w:val="20"/>
          <w:szCs w:val="20"/>
        </w:rPr>
        <w:t>phosphate</w:t>
      </w:r>
      <w:r w:rsidRPr="00076670">
        <w:rPr>
          <w:color w:val="000000"/>
          <w:spacing w:val="-3"/>
          <w:sz w:val="20"/>
          <w:szCs w:val="20"/>
        </w:rPr>
        <w:t xml:space="preserve"> </w:t>
      </w:r>
      <w:r w:rsidRPr="00076670">
        <w:rPr>
          <w:color w:val="000000"/>
          <w:sz w:val="20"/>
          <w:szCs w:val="20"/>
        </w:rPr>
        <w:t>buffer</w:t>
      </w:r>
      <w:r w:rsidRPr="00076670">
        <w:rPr>
          <w:color w:val="000000"/>
          <w:spacing w:val="-8"/>
          <w:sz w:val="20"/>
          <w:szCs w:val="20"/>
        </w:rPr>
        <w:t xml:space="preserve"> </w:t>
      </w:r>
      <w:r w:rsidRPr="00076670">
        <w:rPr>
          <w:color w:val="000000"/>
          <w:spacing w:val="-2"/>
          <w:sz w:val="20"/>
          <w:szCs w:val="20"/>
        </w:rPr>
        <w:t>saline:</w:t>
      </w:r>
      <w:r w:rsidRPr="00076670">
        <w:rPr>
          <w:sz w:val="20"/>
          <w:szCs w:val="20"/>
        </w:rPr>
        <w:t xml:space="preserve"> </w:t>
      </w:r>
    </w:p>
    <w:p w14:paraId="06A17A2B" w14:textId="77777777" w:rsidR="00D460AE" w:rsidRPr="00076670" w:rsidRDefault="00000000" w:rsidP="00076670">
      <w:pPr>
        <w:pStyle w:val="Heading5"/>
        <w:spacing w:before="0"/>
        <w:ind w:right="-29"/>
        <w:jc w:val="both"/>
        <w:rPr>
          <w:rFonts w:ascii="Times New Roman" w:hAnsi="Times New Roman" w:cs="Times New Roman"/>
          <w:color w:val="000000"/>
          <w:spacing w:val="-2"/>
          <w:sz w:val="20"/>
          <w:szCs w:val="20"/>
        </w:rPr>
      </w:pPr>
      <w:r w:rsidRPr="00076670">
        <w:rPr>
          <w:rFonts w:ascii="Times New Roman" w:hAnsi="Times New Roman" w:cs="Times New Roman"/>
          <w:color w:val="000000"/>
          <w:spacing w:val="-2"/>
          <w:sz w:val="20"/>
          <w:szCs w:val="20"/>
        </w:rPr>
        <w:t>A 1000 ml volumetric flask, cleaned and dried, was used to prepare 1000 ml of phosphate buffer saline. All components were dissolved thoroughly until a pure solution was achieved, and the final volume was adjusted by adding an adequate amount of distilled water up to the 1-liter mark. The pH was then verified to be 6.8.</w:t>
      </w:r>
    </w:p>
    <w:p w14:paraId="7BD8827C" w14:textId="77777777" w:rsidR="00D460AE" w:rsidRPr="00076670" w:rsidRDefault="00000000" w:rsidP="00076670">
      <w:pPr>
        <w:pStyle w:val="Heading5"/>
        <w:keepNext w:val="0"/>
        <w:keepLines w:val="0"/>
        <w:widowControl w:val="0"/>
        <w:numPr>
          <w:ilvl w:val="0"/>
          <w:numId w:val="10"/>
        </w:numPr>
        <w:tabs>
          <w:tab w:val="left" w:pos="993"/>
        </w:tabs>
        <w:autoSpaceDE w:val="0"/>
        <w:autoSpaceDN w:val="0"/>
        <w:spacing w:before="0"/>
        <w:ind w:left="0" w:right="-29" w:firstLine="0"/>
        <w:jc w:val="both"/>
        <w:rPr>
          <w:rFonts w:ascii="Times New Roman" w:hAnsi="Times New Roman" w:cs="Times New Roman"/>
          <w:color w:val="000000"/>
          <w:spacing w:val="-5"/>
          <w:sz w:val="20"/>
          <w:szCs w:val="20"/>
        </w:rPr>
      </w:pPr>
      <w:r w:rsidRPr="00076670">
        <w:rPr>
          <w:rFonts w:ascii="Times New Roman" w:hAnsi="Times New Roman" w:cs="Times New Roman"/>
          <w:color w:val="000000"/>
          <w:spacing w:val="-5"/>
          <w:sz w:val="20"/>
          <w:szCs w:val="20"/>
        </w:rPr>
        <w:t>pH:</w:t>
      </w:r>
    </w:p>
    <w:p w14:paraId="3C12B819" w14:textId="77777777" w:rsidR="00D460AE" w:rsidRPr="00076670" w:rsidRDefault="00000000" w:rsidP="00076670">
      <w:pPr>
        <w:pStyle w:val="BodyText"/>
        <w:spacing w:line="276" w:lineRule="auto"/>
        <w:ind w:right="-29"/>
        <w:jc w:val="both"/>
        <w:rPr>
          <w:color w:val="000000"/>
          <w:spacing w:val="-2"/>
          <w:sz w:val="20"/>
          <w:szCs w:val="20"/>
        </w:rPr>
      </w:pPr>
      <w:r w:rsidRPr="00076670">
        <w:rPr>
          <w:color w:val="000000"/>
          <w:spacing w:val="-2"/>
          <w:sz w:val="20"/>
          <w:szCs w:val="20"/>
        </w:rPr>
        <w:t>The pH of the resulting jelly affects both its stability and taste. To determine the pH, 0.5 grams of jelly was dispersed in 50 ml of distilled water to create a 1% solution, and the pH was measured using a Digital pH meter at room temperature.</w:t>
      </w:r>
      <w:r w:rsidRPr="00076670">
        <w:rPr>
          <w:color w:val="000000"/>
          <w:spacing w:val="-2"/>
          <w:sz w:val="20"/>
          <w:szCs w:val="20"/>
        </w:rPr>
        <w:fldChar w:fldCharType="begin"/>
      </w:r>
      <w:r w:rsidRPr="00076670">
        <w:rPr>
          <w:color w:val="000000"/>
          <w:spacing w:val="-2"/>
          <w:sz w:val="20"/>
          <w:szCs w:val="20"/>
        </w:rPr>
        <w:instrText>ADDIN CSL_CITATION {"citationItems":[{"id":"ITEM-1","itemData":{"DOI":"10.4103/japtr.japtr_465_22","ISSN":"09762094","abstract":"Oral jelly is a semisolid preparation that could resolve problem associated with dosage form’s swallowing, especially in pediatric and elderly ones. This work aimed to prepare oral flurbiprofen (FBP) jelly to improve patient compliance. Heating and congealing method was used to prepare FBP jelly using three different polymers (pectin, sodium carboxymethyl cellulose, and hydroxypropyl methylcellulose). The effect of different concentrations of pectin and sucrose on jelly properties was studied. The results revealed that both pectin and sodium carboxymethyl cellulose polymers gave acceptable jelly appearance and consistency. It was also observed that the increase of pectin or sucrose concentration had a significant impact on jelly viscosity. All pectin jellies except formula containing 5.5% pectin and 50% weight by volume (w/v) sucrose exhibited more than 50% and 85% of FBP releasing within 15 and 30 min, respectively. The formula (FP2) consisting of 4.5% pectin and 40% w/v sucrose was selected as optimum formula which had a high percent dissolution efficiency (78.95%) and better consistency during handling. This work succeeded in the preparation of new FBP oral jelly, which can be considered a promising dosage form for enhancement of patient compliance and drug solubility.","author":[{"dropping-particle":"","family":"Sabri","given":"Lubna Abdalkarim","non-dropping-particle":"","parse-names":false,"suffix":""},{"dropping-particle":"","family":"Khasraghi","given":"Abeer H.","non-dropping-particle":"","parse-names":false,"suffix":""},{"dropping-particle":"","family":"Sulaiman","given":"Hala Talal","non-dropping-particle":"","parse-names":false,"suffix":""}],"container-title":"Journal of Advanced Pharmaceutical Technology and Research","id":"ITEM-1","issue":"4","issued":{"date-parts":[["2022"]]},"page":"306-311","title":"Preparation and evaluation of oral soft chewable jelly containing flurbiprofen","type":"article-journal","volume":"13"},"uris":["http://www.mendeley.com/documents/?uuid=8229ff92-3241-4e22-b040-4cbae65351ea"]}],"mendeley":{"formattedCitation":"(Sabri, Khasraghi, and Sulaiman 2022)","plainTextFormattedCitation":"(Sabri, Khasraghi, and Sulaiman 2022)","previouslyFormattedCitation":"(Sabri, Khasraghi, and Sulaiman 2022)"},"properties":{"noteIndex":0},"schema":"https://github.com/citation-style-language/schema/raw/master/csl-citation.json"}</w:instrText>
      </w:r>
      <w:r w:rsidRPr="00076670">
        <w:rPr>
          <w:color w:val="000000"/>
          <w:spacing w:val="-2"/>
          <w:sz w:val="20"/>
          <w:szCs w:val="20"/>
        </w:rPr>
        <w:fldChar w:fldCharType="separate"/>
      </w:r>
      <w:r w:rsidRPr="00076670">
        <w:rPr>
          <w:noProof/>
          <w:color w:val="000000"/>
          <w:spacing w:val="-2"/>
          <w:sz w:val="20"/>
          <w:szCs w:val="20"/>
        </w:rPr>
        <w:t>(Sabri, Khasraghi, and Sulaiman 2022)</w:t>
      </w:r>
      <w:r w:rsidRPr="00076670">
        <w:rPr>
          <w:color w:val="000000"/>
          <w:spacing w:val="-2"/>
          <w:sz w:val="20"/>
          <w:szCs w:val="20"/>
        </w:rPr>
        <w:fldChar w:fldCharType="end"/>
      </w:r>
      <w:r w:rsidRPr="00076670">
        <w:rPr>
          <w:color w:val="000000"/>
          <w:spacing w:val="-2"/>
          <w:sz w:val="20"/>
          <w:szCs w:val="20"/>
        </w:rPr>
        <w:t>.</w:t>
      </w:r>
    </w:p>
    <w:p w14:paraId="352D6409" w14:textId="77777777" w:rsidR="00D460AE" w:rsidRPr="00076670" w:rsidRDefault="00000000" w:rsidP="00076670">
      <w:pPr>
        <w:pStyle w:val="Heading5"/>
        <w:keepNext w:val="0"/>
        <w:keepLines w:val="0"/>
        <w:widowControl w:val="0"/>
        <w:numPr>
          <w:ilvl w:val="0"/>
          <w:numId w:val="10"/>
        </w:numPr>
        <w:autoSpaceDE w:val="0"/>
        <w:autoSpaceDN w:val="0"/>
        <w:spacing w:before="0"/>
        <w:ind w:left="0" w:right="-29" w:firstLine="0"/>
        <w:jc w:val="both"/>
        <w:rPr>
          <w:rFonts w:ascii="Times New Roman" w:hAnsi="Times New Roman" w:cs="Times New Roman"/>
          <w:color w:val="000000"/>
          <w:sz w:val="20"/>
          <w:szCs w:val="20"/>
        </w:rPr>
      </w:pPr>
      <w:r w:rsidRPr="00076670">
        <w:rPr>
          <w:rFonts w:ascii="Times New Roman" w:hAnsi="Times New Roman" w:cs="Times New Roman"/>
          <w:color w:val="000000"/>
          <w:spacing w:val="-2"/>
          <w:sz w:val="20"/>
          <w:szCs w:val="20"/>
        </w:rPr>
        <w:t>Syneresis:</w:t>
      </w:r>
    </w:p>
    <w:p w14:paraId="296375A7" w14:textId="77777777" w:rsidR="00D460AE" w:rsidRPr="00076670" w:rsidRDefault="00000000" w:rsidP="00076670">
      <w:pPr>
        <w:pStyle w:val="BodyText"/>
        <w:spacing w:line="276" w:lineRule="auto"/>
        <w:ind w:right="-29"/>
        <w:jc w:val="both"/>
        <w:rPr>
          <w:color w:val="000000"/>
          <w:spacing w:val="-2"/>
          <w:sz w:val="20"/>
          <w:szCs w:val="20"/>
        </w:rPr>
      </w:pPr>
      <w:r w:rsidRPr="00076670">
        <w:rPr>
          <w:color w:val="000000"/>
          <w:spacing w:val="-2"/>
          <w:sz w:val="20"/>
          <w:szCs w:val="20"/>
        </w:rPr>
        <w:t>Syneresis refers to the gel contracting during storage, resulting in the separation of water from the gel. This phenomenon is more noticeable in gels with lower concentrations of gelling agents. All jellies were examined for signs of syneresis at room temperature (25 °C ± 5 °C) and at 8 °C ± 1 °C</w:t>
      </w:r>
      <w:r w:rsidRPr="00076670">
        <w:rPr>
          <w:color w:val="000000"/>
          <w:spacing w:val="-2"/>
          <w:sz w:val="20"/>
          <w:szCs w:val="20"/>
        </w:rPr>
        <w:fldChar w:fldCharType="begin"/>
      </w:r>
      <w:r w:rsidRPr="00076670">
        <w:rPr>
          <w:color w:val="000000"/>
          <w:spacing w:val="-2"/>
          <w:sz w:val="20"/>
          <w:szCs w:val="20"/>
        </w:rPr>
        <w:instrText>ADDIN CSL_CITATION {"citationItems":[{"id":"ITEM-1","itemData":{"DOI":"10.4103/japtr.japtr_465_22","ISSN":"09762094","abstract":"Oral jelly is a semisolid preparation that could resolve problem associated with dosage form’s swallowing, especially in pediatric and elderly ones. This work aimed to prepare oral flurbiprofen (FBP) jelly to improve patient compliance. Heating and congealing method was used to prepare FBP jelly using three different polymers (pectin, sodium carboxymethyl cellulose, and hydroxypropyl methylcellulose). The effect of different concentrations of pectin and sucrose on jelly properties was studied. The results revealed that both pectin and sodium carboxymethyl cellulose polymers gave acceptable jelly appearance and consistency. It was also observed that the increase of pectin or sucrose concentration had a significant impact on jelly viscosity. All pectin jellies except formula containing 5.5% pectin and 50% weight by volume (w/v) sucrose exhibited more than 50% and 85% of FBP releasing within 15 and 30 min, respectively. The formula (FP2) consisting of 4.5% pectin and 40% w/v sucrose was selected as optimum formula which had a high percent dissolution efficiency (78.95%) and better consistency during handling. This work succeeded in the preparation of new FBP oral jelly, which can be considered a promising dosage form for enhancement of patient compliance and drug solubility.","author":[{"dropping-particle":"","family":"Sabri","given":"Lubna Abdalkarim","non-dropping-particle":"","parse-names":false,"suffix":""},{"dropping-particle":"","family":"Khasraghi","given":"Abeer H.","non-dropping-particle":"","parse-names":false,"suffix":""},{"dropping-particle":"","family":"Sulaiman","given":"Hala Talal","non-dropping-particle":"","parse-names":false,"suffix":""}],"container-title":"Journal of Advanced Pharmaceutical Technology and Research","id":"ITEM-1","issue":"4","issued":{"date-parts":[["2022"]]},"page":"306-311","title":"Preparation and evaluation of oral soft chewable jelly containing flurbiprofen","type":"article-journal","volume":"13"},"uris":["http://www.mendeley.com/documents/?uuid=8229ff92-3241-4e22-b040-4cbae65351ea"]}],"mendeley":{"formattedCitation":"(Sabri, Khasraghi, and Sulaiman 2022)","plainTextFormattedCitation":"(Sabri, Khasraghi, and Sulaiman 2022)","previouslyFormattedCitation":"(Sabri, Khasraghi, and Sulaiman 2022)"},"properties":{"noteIndex":0},"schema":"https://github.com/citation-style-language/schema/raw/master/csl-citation.json"}</w:instrText>
      </w:r>
      <w:r w:rsidRPr="00076670">
        <w:rPr>
          <w:color w:val="000000"/>
          <w:spacing w:val="-2"/>
          <w:sz w:val="20"/>
          <w:szCs w:val="20"/>
        </w:rPr>
        <w:fldChar w:fldCharType="separate"/>
      </w:r>
      <w:r w:rsidRPr="00076670">
        <w:rPr>
          <w:noProof/>
          <w:color w:val="000000"/>
          <w:spacing w:val="-2"/>
          <w:sz w:val="20"/>
          <w:szCs w:val="20"/>
        </w:rPr>
        <w:t>(Sabri, Khasraghi, and Sulaiman 2022)</w:t>
      </w:r>
      <w:r w:rsidRPr="00076670">
        <w:rPr>
          <w:color w:val="000000"/>
          <w:spacing w:val="-2"/>
          <w:sz w:val="20"/>
          <w:szCs w:val="20"/>
        </w:rPr>
        <w:fldChar w:fldCharType="end"/>
      </w:r>
      <w:r w:rsidRPr="00076670">
        <w:rPr>
          <w:color w:val="000000"/>
          <w:spacing w:val="-2"/>
          <w:sz w:val="20"/>
          <w:szCs w:val="20"/>
        </w:rPr>
        <w:t>.</w:t>
      </w:r>
    </w:p>
    <w:p w14:paraId="67A54CF9" w14:textId="77777777" w:rsidR="00D460AE" w:rsidRPr="00076670" w:rsidRDefault="00000000" w:rsidP="00076670">
      <w:pPr>
        <w:pStyle w:val="Heading5"/>
        <w:keepNext w:val="0"/>
        <w:keepLines w:val="0"/>
        <w:widowControl w:val="0"/>
        <w:numPr>
          <w:ilvl w:val="0"/>
          <w:numId w:val="10"/>
        </w:numPr>
        <w:autoSpaceDE w:val="0"/>
        <w:autoSpaceDN w:val="0"/>
        <w:spacing w:before="0"/>
        <w:ind w:left="0" w:right="-29" w:firstLine="0"/>
        <w:jc w:val="both"/>
        <w:rPr>
          <w:rFonts w:ascii="Times New Roman" w:hAnsi="Times New Roman" w:cs="Times New Roman"/>
          <w:b/>
          <w:color w:val="000000"/>
          <w:sz w:val="20"/>
          <w:szCs w:val="20"/>
        </w:rPr>
      </w:pPr>
      <w:r w:rsidRPr="00076670">
        <w:rPr>
          <w:rFonts w:ascii="Times New Roman" w:hAnsi="Times New Roman" w:cs="Times New Roman"/>
          <w:color w:val="000000"/>
          <w:sz w:val="20"/>
          <w:szCs w:val="20"/>
        </w:rPr>
        <w:t>Stability</w:t>
      </w:r>
      <w:r w:rsidRPr="00076670">
        <w:rPr>
          <w:rFonts w:ascii="Times New Roman" w:hAnsi="Times New Roman" w:cs="Times New Roman"/>
          <w:color w:val="000000"/>
          <w:spacing w:val="-13"/>
          <w:sz w:val="20"/>
          <w:szCs w:val="20"/>
        </w:rPr>
        <w:t xml:space="preserve"> </w:t>
      </w:r>
      <w:r w:rsidRPr="00076670">
        <w:rPr>
          <w:rFonts w:ascii="Times New Roman" w:hAnsi="Times New Roman" w:cs="Times New Roman"/>
          <w:color w:val="000000"/>
          <w:spacing w:val="-2"/>
          <w:sz w:val="20"/>
          <w:szCs w:val="20"/>
        </w:rPr>
        <w:t>Studies.</w:t>
      </w:r>
    </w:p>
    <w:p w14:paraId="4B86ED55" w14:textId="77777777" w:rsidR="00D460AE" w:rsidRPr="00076670" w:rsidRDefault="00000000" w:rsidP="00076670">
      <w:pPr>
        <w:spacing w:after="0"/>
        <w:ind w:right="-29"/>
        <w:jc w:val="both"/>
        <w:rPr>
          <w:rFonts w:ascii="Times New Roman" w:hAnsi="Times New Roman" w:cs="Times New Roman"/>
          <w:color w:val="000000"/>
          <w:spacing w:val="-2"/>
          <w:sz w:val="20"/>
          <w:szCs w:val="20"/>
        </w:rPr>
      </w:pPr>
      <w:r w:rsidRPr="00076670">
        <w:rPr>
          <w:rFonts w:ascii="Times New Roman" w:hAnsi="Times New Roman" w:cs="Times New Roman"/>
          <w:color w:val="000000"/>
          <w:spacing w:val="-2"/>
          <w:sz w:val="20"/>
          <w:szCs w:val="20"/>
        </w:rPr>
        <w:t>In stability studies, jelly formulations were wrapped in aluminum foils, placed into high-density polyethylene containers, sealed tightly, and stored at room temperature for a duration of 60 days. Initial readings of freshly prepared jellies served as the reference standard for subjective assessments</w:t>
      </w:r>
      <w:r w:rsidRPr="00076670">
        <w:rPr>
          <w:rFonts w:ascii="Times New Roman" w:hAnsi="Times New Roman" w:cs="Times New Roman"/>
          <w:color w:val="000000"/>
          <w:spacing w:val="-2"/>
          <w:sz w:val="20"/>
          <w:szCs w:val="20"/>
        </w:rPr>
        <w:fldChar w:fldCharType="begin"/>
      </w:r>
      <w:r w:rsidRPr="00076670">
        <w:rPr>
          <w:rFonts w:ascii="Times New Roman" w:hAnsi="Times New Roman" w:cs="Times New Roman"/>
          <w:color w:val="000000"/>
          <w:spacing w:val="-2"/>
          <w:sz w:val="20"/>
          <w:szCs w:val="20"/>
        </w:rPr>
        <w:instrText>ADDIN CSL_CITATION {"citationItems":[{"id":"ITEM-1","itemData":{"abstract":"Oral medicated jelly is a novel oral dosage form. There is need to develop such dosage form in order to overcome difficulties faced by paediatric and geriatric patients in administration of conventional dosage form. It is highly beneficial for individuals with swallowing difficulties. Oral jelly can be chewed effortlessly &amp; dissolves easily in saliva without any need of water for ingestion making it unique from other dosage forms. Further patients get fascinated by its appearance &amp; soft texture resulting in high patient acceptance. In the present research work Domperidone jelly was formulated to provide faster relief from nausea &amp; vomiting compared to other dosage forms. Jelly formulation is prepared using sucrose, gelatine, citric acid, sodium citrate, sodium benzoate by heating &amp; congealing method. It is evaluated for appearance, weight variation, pH, synergesis, drug content, &amp; dissolution. Optimized formulation has shown drug release of 98.39% in 25minutes.Medicated jelly (F5) has shown effective drug release compared to the soft chew formulation (F9). The stability studies on optimized formulation (F5) was carried out as per ICH guidelines &amp; has shown acceptable result.","author":[{"dropping-particle":"","family":"Mittapally","given":"Sirisha","non-dropping-particle":"","parse-names":false,"suffix":""},{"dropping-particle":"","family":"Taranum","given":"Ruheena","non-dropping-particle":"","parse-names":false,"suffix":""}],"container-title":"International Journal of Pharmacy and Biological Sciences","id":"ITEM-1","issue":"4","issued":{"date-parts":[["2018"]]},"page":"870-878","title":"Formulation and Evaluation of Domperidone Oral Jelly","type":"article-journal","volume":"8"},"uris":["http://www.mendeley.com/documents/?uuid=c755d6a2-8d13-4276-a9d2-722f4a5622b3"]}],"mendeley":{"formattedCitation":"(Mittapally and Taranum 2018)","plainTextFormattedCitation":"(Mittapally and Taranum 2018)","previouslyFormattedCitation":"(Mittapally and Taranum 2018)"},"properties":{"noteIndex":0},"schema":"https://github.com/citation-style-language/schema/raw/master/csl-citation.json"}</w:instrText>
      </w:r>
      <w:r w:rsidRPr="00076670">
        <w:rPr>
          <w:rFonts w:ascii="Times New Roman" w:hAnsi="Times New Roman" w:cs="Times New Roman"/>
          <w:color w:val="000000"/>
          <w:spacing w:val="-2"/>
          <w:sz w:val="20"/>
          <w:szCs w:val="20"/>
        </w:rPr>
        <w:fldChar w:fldCharType="separate"/>
      </w:r>
      <w:r w:rsidRPr="00076670">
        <w:rPr>
          <w:rFonts w:ascii="Times New Roman" w:hAnsi="Times New Roman" w:cs="Times New Roman"/>
          <w:noProof/>
          <w:color w:val="000000"/>
          <w:spacing w:val="-2"/>
          <w:sz w:val="20"/>
          <w:szCs w:val="20"/>
        </w:rPr>
        <w:t>(Mittapally and Taranum 2018)</w:t>
      </w:r>
      <w:r w:rsidRPr="00076670">
        <w:rPr>
          <w:rFonts w:ascii="Times New Roman" w:hAnsi="Times New Roman" w:cs="Times New Roman"/>
          <w:color w:val="000000"/>
          <w:spacing w:val="-2"/>
          <w:sz w:val="20"/>
          <w:szCs w:val="20"/>
        </w:rPr>
        <w:fldChar w:fldCharType="end"/>
      </w:r>
      <w:r w:rsidRPr="00076670">
        <w:rPr>
          <w:rFonts w:ascii="Times New Roman" w:hAnsi="Times New Roman" w:cs="Times New Roman"/>
          <w:color w:val="000000"/>
          <w:spacing w:val="-2"/>
          <w:sz w:val="20"/>
          <w:szCs w:val="20"/>
        </w:rPr>
        <w:t>.</w:t>
      </w:r>
    </w:p>
    <w:p w14:paraId="287A77C3" w14:textId="77777777" w:rsidR="00076670" w:rsidRDefault="00076670" w:rsidP="00076670">
      <w:pPr>
        <w:spacing w:after="0"/>
        <w:ind w:right="-29"/>
        <w:jc w:val="both"/>
        <w:rPr>
          <w:rFonts w:ascii="Times New Roman" w:hAnsi="Times New Roman" w:cs="Times New Roman"/>
          <w:b/>
          <w:color w:val="000000"/>
          <w:spacing w:val="-2"/>
          <w:sz w:val="20"/>
          <w:szCs w:val="20"/>
        </w:rPr>
      </w:pPr>
      <w:bookmarkStart w:id="8" w:name="5._Syneresis:"/>
      <w:bookmarkEnd w:id="8"/>
    </w:p>
    <w:p w14:paraId="124BBFE8" w14:textId="14F8D119" w:rsidR="00D460AE" w:rsidRPr="00076670" w:rsidRDefault="00000000" w:rsidP="00076670">
      <w:pPr>
        <w:spacing w:after="0"/>
        <w:ind w:right="-29"/>
        <w:jc w:val="both"/>
        <w:rPr>
          <w:rFonts w:ascii="Times New Roman" w:hAnsi="Times New Roman" w:cs="Times New Roman"/>
          <w:b/>
          <w:color w:val="000000"/>
          <w:spacing w:val="-2"/>
          <w:sz w:val="20"/>
          <w:szCs w:val="20"/>
        </w:rPr>
      </w:pPr>
      <w:r w:rsidRPr="00076670">
        <w:rPr>
          <w:rFonts w:ascii="Times New Roman" w:hAnsi="Times New Roman" w:cs="Times New Roman"/>
          <w:b/>
          <w:color w:val="000000"/>
          <w:spacing w:val="-2"/>
          <w:sz w:val="20"/>
          <w:szCs w:val="20"/>
        </w:rPr>
        <w:t>Result and Discussion:</w:t>
      </w:r>
    </w:p>
    <w:p w14:paraId="7F0DDB94" w14:textId="77777777" w:rsidR="00D460AE" w:rsidRPr="00076670" w:rsidRDefault="00000000" w:rsidP="00076670">
      <w:pPr>
        <w:pStyle w:val="ListParagraph"/>
        <w:tabs>
          <w:tab w:val="left" w:pos="1108"/>
        </w:tabs>
        <w:spacing w:line="276" w:lineRule="auto"/>
        <w:ind w:left="0" w:right="-29" w:firstLine="0"/>
        <w:jc w:val="both"/>
        <w:rPr>
          <w:b/>
          <w:color w:val="000000"/>
          <w:spacing w:val="-2"/>
          <w:sz w:val="20"/>
          <w:szCs w:val="20"/>
        </w:rPr>
      </w:pPr>
      <w:r w:rsidRPr="00076670">
        <w:rPr>
          <w:b/>
          <w:color w:val="000000"/>
          <w:sz w:val="20"/>
          <w:szCs w:val="20"/>
        </w:rPr>
        <w:t>Evaluation</w:t>
      </w:r>
      <w:r w:rsidRPr="00076670">
        <w:rPr>
          <w:b/>
          <w:color w:val="000000"/>
          <w:spacing w:val="-1"/>
          <w:sz w:val="20"/>
          <w:szCs w:val="20"/>
        </w:rPr>
        <w:t xml:space="preserve"> </w:t>
      </w:r>
      <w:r w:rsidRPr="00076670">
        <w:rPr>
          <w:b/>
          <w:color w:val="000000"/>
          <w:sz w:val="20"/>
          <w:szCs w:val="20"/>
        </w:rPr>
        <w:t>test of</w:t>
      </w:r>
      <w:r w:rsidRPr="00076670">
        <w:rPr>
          <w:b/>
          <w:color w:val="000000"/>
          <w:spacing w:val="-3"/>
          <w:sz w:val="20"/>
          <w:szCs w:val="20"/>
        </w:rPr>
        <w:t xml:space="preserve"> </w:t>
      </w:r>
      <w:r w:rsidRPr="00076670">
        <w:rPr>
          <w:b/>
          <w:color w:val="000000"/>
          <w:spacing w:val="-2"/>
          <w:sz w:val="20"/>
          <w:szCs w:val="20"/>
        </w:rPr>
        <w:t>Jellies.</w:t>
      </w:r>
    </w:p>
    <w:p w14:paraId="51ADB4BA" w14:textId="77777777" w:rsidR="00D460AE" w:rsidRPr="00076670" w:rsidRDefault="00000000" w:rsidP="00076670">
      <w:pPr>
        <w:pStyle w:val="ListParagraph"/>
        <w:tabs>
          <w:tab w:val="left" w:pos="1108"/>
        </w:tabs>
        <w:spacing w:line="276" w:lineRule="auto"/>
        <w:ind w:left="0" w:right="-29" w:firstLine="0"/>
        <w:jc w:val="both"/>
        <w:rPr>
          <w:b/>
          <w:color w:val="000000"/>
          <w:spacing w:val="-2"/>
          <w:sz w:val="20"/>
          <w:szCs w:val="20"/>
        </w:rPr>
      </w:pPr>
      <w:r w:rsidRPr="00076670">
        <w:rPr>
          <w:b/>
          <w:color w:val="000000"/>
          <w:spacing w:val="-2"/>
          <w:sz w:val="20"/>
          <w:szCs w:val="20"/>
        </w:rPr>
        <w:t>Physical</w:t>
      </w:r>
      <w:r w:rsidRPr="00076670">
        <w:rPr>
          <w:b/>
          <w:color w:val="000000"/>
          <w:spacing w:val="-10"/>
          <w:sz w:val="20"/>
          <w:szCs w:val="20"/>
        </w:rPr>
        <w:t xml:space="preserve"> </w:t>
      </w:r>
      <w:r w:rsidRPr="00076670">
        <w:rPr>
          <w:b/>
          <w:color w:val="000000"/>
          <w:spacing w:val="-2"/>
          <w:sz w:val="20"/>
          <w:szCs w:val="20"/>
        </w:rPr>
        <w:t>appearance</w:t>
      </w:r>
      <w:r w:rsidRPr="00076670">
        <w:rPr>
          <w:b/>
          <w:color w:val="000000"/>
          <w:spacing w:val="1"/>
          <w:sz w:val="20"/>
          <w:szCs w:val="20"/>
        </w:rPr>
        <w:t xml:space="preserve"> </w:t>
      </w:r>
      <w:r w:rsidRPr="00076670">
        <w:rPr>
          <w:b/>
          <w:color w:val="000000"/>
          <w:spacing w:val="-2"/>
          <w:sz w:val="20"/>
          <w:szCs w:val="20"/>
        </w:rPr>
        <w:t>and</w:t>
      </w:r>
      <w:r w:rsidRPr="00076670">
        <w:rPr>
          <w:b/>
          <w:color w:val="000000"/>
          <w:spacing w:val="2"/>
          <w:sz w:val="20"/>
          <w:szCs w:val="20"/>
        </w:rPr>
        <w:t xml:space="preserve"> </w:t>
      </w:r>
      <w:r w:rsidRPr="00076670">
        <w:rPr>
          <w:b/>
          <w:color w:val="000000"/>
          <w:spacing w:val="-2"/>
          <w:sz w:val="20"/>
          <w:szCs w:val="20"/>
        </w:rPr>
        <w:t>Stickiness.</w:t>
      </w:r>
    </w:p>
    <w:p w14:paraId="0FFB1612" w14:textId="77777777" w:rsidR="00D460AE" w:rsidRPr="00076670" w:rsidRDefault="00000000" w:rsidP="00076670">
      <w:pPr>
        <w:pStyle w:val="ListParagraph"/>
        <w:tabs>
          <w:tab w:val="left" w:pos="1108"/>
        </w:tabs>
        <w:spacing w:line="276" w:lineRule="auto"/>
        <w:ind w:left="0" w:right="-29" w:firstLine="0"/>
        <w:jc w:val="both"/>
        <w:rPr>
          <w:b/>
          <w:color w:val="000000"/>
          <w:sz w:val="20"/>
          <w:szCs w:val="20"/>
        </w:rPr>
      </w:pPr>
      <w:r w:rsidRPr="00076670">
        <w:rPr>
          <w:color w:val="000000"/>
          <w:sz w:val="20"/>
          <w:szCs w:val="20"/>
        </w:rPr>
        <w:t>The</w:t>
      </w:r>
      <w:r w:rsidRPr="00076670">
        <w:rPr>
          <w:color w:val="000000"/>
          <w:spacing w:val="-10"/>
          <w:sz w:val="20"/>
          <w:szCs w:val="20"/>
        </w:rPr>
        <w:t xml:space="preserve"> </w:t>
      </w:r>
      <w:r w:rsidRPr="00076670">
        <w:rPr>
          <w:color w:val="000000"/>
          <w:sz w:val="20"/>
          <w:szCs w:val="20"/>
        </w:rPr>
        <w:t>prepared jellies</w:t>
      </w:r>
      <w:r w:rsidRPr="00076670">
        <w:rPr>
          <w:color w:val="000000"/>
          <w:spacing w:val="-3"/>
          <w:sz w:val="20"/>
          <w:szCs w:val="20"/>
        </w:rPr>
        <w:t xml:space="preserve"> </w:t>
      </w:r>
      <w:r w:rsidRPr="00076670">
        <w:rPr>
          <w:color w:val="000000"/>
          <w:sz w:val="20"/>
          <w:szCs w:val="20"/>
        </w:rPr>
        <w:t>were</w:t>
      </w:r>
      <w:r w:rsidRPr="00076670">
        <w:rPr>
          <w:color w:val="000000"/>
          <w:spacing w:val="-6"/>
          <w:sz w:val="20"/>
          <w:szCs w:val="20"/>
        </w:rPr>
        <w:t xml:space="preserve"> </w:t>
      </w:r>
      <w:r w:rsidRPr="00076670">
        <w:rPr>
          <w:color w:val="000000"/>
          <w:sz w:val="20"/>
          <w:szCs w:val="20"/>
        </w:rPr>
        <w:t>visually</w:t>
      </w:r>
      <w:r w:rsidRPr="00076670">
        <w:rPr>
          <w:color w:val="000000"/>
          <w:spacing w:val="-6"/>
          <w:sz w:val="20"/>
          <w:szCs w:val="20"/>
        </w:rPr>
        <w:t xml:space="preserve"> </w:t>
      </w:r>
      <w:r w:rsidRPr="00076670">
        <w:rPr>
          <w:color w:val="000000"/>
          <w:sz w:val="20"/>
          <w:szCs w:val="20"/>
        </w:rPr>
        <w:t>inspected</w:t>
      </w:r>
      <w:r w:rsidRPr="00076670">
        <w:rPr>
          <w:color w:val="000000"/>
          <w:spacing w:val="-1"/>
          <w:sz w:val="20"/>
          <w:szCs w:val="20"/>
        </w:rPr>
        <w:t xml:space="preserve"> </w:t>
      </w:r>
      <w:r w:rsidRPr="00076670">
        <w:rPr>
          <w:color w:val="000000"/>
          <w:sz w:val="20"/>
          <w:szCs w:val="20"/>
        </w:rPr>
        <w:t>for</w:t>
      </w:r>
      <w:r w:rsidRPr="00076670">
        <w:rPr>
          <w:color w:val="000000"/>
          <w:spacing w:val="-1"/>
          <w:sz w:val="20"/>
          <w:szCs w:val="20"/>
        </w:rPr>
        <w:t xml:space="preserve"> </w:t>
      </w:r>
      <w:r w:rsidRPr="00076670">
        <w:rPr>
          <w:color w:val="000000"/>
          <w:sz w:val="20"/>
          <w:szCs w:val="20"/>
        </w:rPr>
        <w:t>color,</w:t>
      </w:r>
      <w:r w:rsidRPr="00076670">
        <w:rPr>
          <w:color w:val="000000"/>
          <w:spacing w:val="-7"/>
          <w:sz w:val="20"/>
          <w:szCs w:val="20"/>
        </w:rPr>
        <w:t xml:space="preserve"> </w:t>
      </w:r>
      <w:r w:rsidRPr="00076670">
        <w:rPr>
          <w:color w:val="000000"/>
          <w:sz w:val="20"/>
          <w:szCs w:val="20"/>
        </w:rPr>
        <w:t>odor,</w:t>
      </w:r>
      <w:r w:rsidRPr="00076670">
        <w:rPr>
          <w:color w:val="000000"/>
          <w:spacing w:val="-15"/>
          <w:sz w:val="20"/>
          <w:szCs w:val="20"/>
        </w:rPr>
        <w:t xml:space="preserve"> </w:t>
      </w:r>
      <w:r w:rsidRPr="00076670">
        <w:rPr>
          <w:color w:val="000000"/>
          <w:sz w:val="20"/>
          <w:szCs w:val="20"/>
        </w:rPr>
        <w:t>texture</w:t>
      </w:r>
      <w:r w:rsidRPr="00076670">
        <w:rPr>
          <w:color w:val="000000"/>
          <w:spacing w:val="-5"/>
          <w:sz w:val="20"/>
          <w:szCs w:val="20"/>
        </w:rPr>
        <w:t xml:space="preserve"> </w:t>
      </w:r>
      <w:r w:rsidRPr="00076670">
        <w:rPr>
          <w:color w:val="000000"/>
          <w:sz w:val="20"/>
          <w:szCs w:val="20"/>
        </w:rPr>
        <w:t>and</w:t>
      </w:r>
      <w:r w:rsidRPr="00076670">
        <w:rPr>
          <w:color w:val="000000"/>
          <w:spacing w:val="-11"/>
          <w:sz w:val="20"/>
          <w:szCs w:val="20"/>
        </w:rPr>
        <w:t xml:space="preserve"> </w:t>
      </w:r>
      <w:r w:rsidRPr="00076670">
        <w:rPr>
          <w:color w:val="000000"/>
          <w:spacing w:val="-2"/>
          <w:sz w:val="20"/>
          <w:szCs w:val="20"/>
        </w:rPr>
        <w:t>taste.</w:t>
      </w:r>
    </w:p>
    <w:p w14:paraId="0C5D3276" w14:textId="77777777" w:rsidR="00076670" w:rsidRDefault="00076670" w:rsidP="00076670">
      <w:pPr>
        <w:pStyle w:val="Heading5"/>
        <w:spacing w:before="0"/>
        <w:ind w:right="-29"/>
        <w:jc w:val="both"/>
        <w:rPr>
          <w:rFonts w:ascii="Times New Roman" w:hAnsi="Times New Roman" w:cs="Times New Roman"/>
          <w:color w:val="000000"/>
          <w:sz w:val="20"/>
          <w:szCs w:val="20"/>
        </w:rPr>
        <w:sectPr w:rsidR="00076670" w:rsidSect="00076670">
          <w:pgSz w:w="11906" w:h="16838" w:code="9"/>
          <w:pgMar w:top="1440" w:right="1077" w:bottom="1440" w:left="1077" w:header="658" w:footer="974" w:gutter="0"/>
          <w:cols w:num="2" w:space="720"/>
        </w:sectPr>
      </w:pPr>
      <w:bookmarkStart w:id="9" w:name="Table_6.2.1:_Physical_evaluation_of_the_"/>
      <w:bookmarkEnd w:id="9"/>
    </w:p>
    <w:p w14:paraId="469A013D" w14:textId="77777777" w:rsidR="00076670" w:rsidRDefault="00000000" w:rsidP="00076670">
      <w:pPr>
        <w:pStyle w:val="Heading5"/>
        <w:spacing w:before="0"/>
        <w:ind w:right="-29"/>
        <w:jc w:val="both"/>
        <w:rPr>
          <w:rFonts w:ascii="Times New Roman" w:hAnsi="Times New Roman" w:cs="Times New Roman"/>
          <w:color w:val="000000"/>
          <w:sz w:val="20"/>
          <w:szCs w:val="20"/>
        </w:rPr>
      </w:pPr>
      <w:r w:rsidRPr="00076670">
        <w:rPr>
          <w:rFonts w:ascii="Times New Roman" w:hAnsi="Times New Roman" w:cs="Times New Roman"/>
          <w:color w:val="000000"/>
          <w:sz w:val="20"/>
          <w:szCs w:val="20"/>
        </w:rPr>
        <w:t xml:space="preserve">                              </w:t>
      </w:r>
    </w:p>
    <w:p w14:paraId="2E8A637E" w14:textId="1D2E517C" w:rsidR="00D460AE" w:rsidRPr="00076670" w:rsidRDefault="00000000" w:rsidP="00076670">
      <w:pPr>
        <w:pStyle w:val="Heading5"/>
        <w:spacing w:before="0"/>
        <w:ind w:right="-29"/>
        <w:jc w:val="center"/>
        <w:rPr>
          <w:rFonts w:ascii="Times New Roman" w:hAnsi="Times New Roman" w:cs="Times New Roman"/>
          <w:b/>
          <w:color w:val="000000"/>
          <w:sz w:val="20"/>
          <w:szCs w:val="20"/>
        </w:rPr>
      </w:pPr>
      <w:r w:rsidRPr="00076670">
        <w:rPr>
          <w:rFonts w:ascii="Times New Roman" w:hAnsi="Times New Roman" w:cs="Times New Roman"/>
          <w:color w:val="000000"/>
          <w:sz w:val="20"/>
          <w:szCs w:val="20"/>
        </w:rPr>
        <w:t>Table3:</w:t>
      </w:r>
      <w:r w:rsidRPr="00076670">
        <w:rPr>
          <w:rFonts w:ascii="Times New Roman" w:hAnsi="Times New Roman" w:cs="Times New Roman"/>
          <w:color w:val="000000"/>
          <w:spacing w:val="-4"/>
          <w:sz w:val="20"/>
          <w:szCs w:val="20"/>
        </w:rPr>
        <w:t xml:space="preserve"> </w:t>
      </w:r>
      <w:r w:rsidRPr="00076670">
        <w:rPr>
          <w:rFonts w:ascii="Times New Roman" w:hAnsi="Times New Roman" w:cs="Times New Roman"/>
          <w:color w:val="000000"/>
          <w:sz w:val="20"/>
          <w:szCs w:val="20"/>
        </w:rPr>
        <w:t>Physical</w:t>
      </w:r>
      <w:r w:rsidRPr="00076670">
        <w:rPr>
          <w:rFonts w:ascii="Times New Roman" w:hAnsi="Times New Roman" w:cs="Times New Roman"/>
          <w:color w:val="000000"/>
          <w:spacing w:val="-9"/>
          <w:sz w:val="20"/>
          <w:szCs w:val="20"/>
        </w:rPr>
        <w:t xml:space="preserve"> </w:t>
      </w:r>
      <w:r w:rsidRPr="00076670">
        <w:rPr>
          <w:rFonts w:ascii="Times New Roman" w:hAnsi="Times New Roman" w:cs="Times New Roman"/>
          <w:color w:val="000000"/>
          <w:sz w:val="20"/>
          <w:szCs w:val="20"/>
        </w:rPr>
        <w:t>evaluation</w:t>
      </w:r>
      <w:r w:rsidRPr="00076670">
        <w:rPr>
          <w:rFonts w:ascii="Times New Roman" w:hAnsi="Times New Roman" w:cs="Times New Roman"/>
          <w:color w:val="000000"/>
          <w:spacing w:val="1"/>
          <w:sz w:val="20"/>
          <w:szCs w:val="20"/>
        </w:rPr>
        <w:t xml:space="preserve"> </w:t>
      </w:r>
      <w:r w:rsidRPr="00076670">
        <w:rPr>
          <w:rFonts w:ascii="Times New Roman" w:hAnsi="Times New Roman" w:cs="Times New Roman"/>
          <w:color w:val="000000"/>
          <w:sz w:val="20"/>
          <w:szCs w:val="20"/>
        </w:rPr>
        <w:t>of</w:t>
      </w:r>
      <w:r w:rsidRPr="00076670">
        <w:rPr>
          <w:rFonts w:ascii="Times New Roman" w:hAnsi="Times New Roman" w:cs="Times New Roman"/>
          <w:color w:val="000000"/>
          <w:spacing w:val="-4"/>
          <w:sz w:val="20"/>
          <w:szCs w:val="20"/>
        </w:rPr>
        <w:t xml:space="preserve"> </w:t>
      </w:r>
      <w:r w:rsidRPr="00076670">
        <w:rPr>
          <w:rFonts w:ascii="Times New Roman" w:hAnsi="Times New Roman" w:cs="Times New Roman"/>
          <w:color w:val="000000"/>
          <w:sz w:val="20"/>
          <w:szCs w:val="20"/>
        </w:rPr>
        <w:t>the</w:t>
      </w:r>
      <w:r w:rsidRPr="00076670">
        <w:rPr>
          <w:rFonts w:ascii="Times New Roman" w:hAnsi="Times New Roman" w:cs="Times New Roman"/>
          <w:color w:val="000000"/>
          <w:spacing w:val="-11"/>
          <w:sz w:val="20"/>
          <w:szCs w:val="20"/>
        </w:rPr>
        <w:t xml:space="preserve"> </w:t>
      </w:r>
      <w:r w:rsidRPr="00076670">
        <w:rPr>
          <w:rFonts w:ascii="Times New Roman" w:hAnsi="Times New Roman" w:cs="Times New Roman"/>
          <w:color w:val="000000"/>
          <w:sz w:val="20"/>
          <w:szCs w:val="20"/>
        </w:rPr>
        <w:t>prepared</w:t>
      </w:r>
      <w:r w:rsidRPr="00076670">
        <w:rPr>
          <w:rFonts w:ascii="Times New Roman" w:hAnsi="Times New Roman" w:cs="Times New Roman"/>
          <w:color w:val="000000"/>
          <w:spacing w:val="6"/>
          <w:sz w:val="20"/>
          <w:szCs w:val="20"/>
        </w:rPr>
        <w:t xml:space="preserve"> </w:t>
      </w:r>
      <w:r w:rsidRPr="00076670">
        <w:rPr>
          <w:rFonts w:ascii="Times New Roman" w:hAnsi="Times New Roman" w:cs="Times New Roman"/>
          <w:color w:val="000000"/>
          <w:spacing w:val="-2"/>
          <w:sz w:val="20"/>
          <w:szCs w:val="20"/>
        </w:rPr>
        <w:t>jellies.</w:t>
      </w:r>
    </w:p>
    <w:tbl>
      <w:tblPr>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1"/>
        <w:gridCol w:w="1480"/>
        <w:gridCol w:w="1663"/>
        <w:gridCol w:w="1574"/>
        <w:gridCol w:w="1481"/>
      </w:tblGrid>
      <w:tr w:rsidR="00D460AE" w:rsidRPr="00076670" w14:paraId="711CCB8E" w14:textId="77777777" w:rsidTr="00076670">
        <w:trPr>
          <w:trHeight w:val="652"/>
        </w:trPr>
        <w:tc>
          <w:tcPr>
            <w:tcW w:w="2131" w:type="dxa"/>
          </w:tcPr>
          <w:p w14:paraId="0E17A009" w14:textId="77777777" w:rsidR="00D460AE" w:rsidRPr="00076670" w:rsidRDefault="00000000" w:rsidP="00076670">
            <w:pPr>
              <w:pStyle w:val="TableParagraph"/>
              <w:spacing w:line="276" w:lineRule="auto"/>
              <w:ind w:right="-29"/>
              <w:jc w:val="both"/>
              <w:rPr>
                <w:b/>
                <w:color w:val="000000"/>
                <w:sz w:val="20"/>
                <w:szCs w:val="20"/>
              </w:rPr>
            </w:pPr>
            <w:r w:rsidRPr="00076670">
              <w:rPr>
                <w:b/>
                <w:color w:val="000000"/>
                <w:spacing w:val="-2"/>
                <w:sz w:val="20"/>
                <w:szCs w:val="20"/>
              </w:rPr>
              <w:t>Characteristics</w:t>
            </w:r>
          </w:p>
        </w:tc>
        <w:tc>
          <w:tcPr>
            <w:tcW w:w="1480" w:type="dxa"/>
          </w:tcPr>
          <w:p w14:paraId="3B6322C8" w14:textId="77777777" w:rsidR="00D460AE" w:rsidRPr="00076670" w:rsidRDefault="00000000" w:rsidP="00076670">
            <w:pPr>
              <w:pStyle w:val="TableParagraph"/>
              <w:spacing w:line="276" w:lineRule="auto"/>
              <w:ind w:right="-29"/>
              <w:jc w:val="both"/>
              <w:rPr>
                <w:b/>
                <w:color w:val="000000"/>
                <w:sz w:val="20"/>
                <w:szCs w:val="20"/>
              </w:rPr>
            </w:pPr>
            <w:r w:rsidRPr="00076670">
              <w:rPr>
                <w:b/>
                <w:color w:val="000000"/>
                <w:spacing w:val="-5"/>
                <w:sz w:val="20"/>
                <w:szCs w:val="20"/>
              </w:rPr>
              <w:t>F1</w:t>
            </w:r>
          </w:p>
        </w:tc>
        <w:tc>
          <w:tcPr>
            <w:tcW w:w="1663" w:type="dxa"/>
          </w:tcPr>
          <w:p w14:paraId="653A1E42" w14:textId="77777777" w:rsidR="00D460AE" w:rsidRPr="00076670" w:rsidRDefault="00000000" w:rsidP="00076670">
            <w:pPr>
              <w:pStyle w:val="TableParagraph"/>
              <w:spacing w:line="276" w:lineRule="auto"/>
              <w:ind w:right="-29"/>
              <w:jc w:val="both"/>
              <w:rPr>
                <w:b/>
                <w:color w:val="000000"/>
                <w:sz w:val="20"/>
                <w:szCs w:val="20"/>
              </w:rPr>
            </w:pPr>
            <w:r w:rsidRPr="00076670">
              <w:rPr>
                <w:b/>
                <w:color w:val="000000"/>
                <w:spacing w:val="-5"/>
                <w:sz w:val="20"/>
                <w:szCs w:val="20"/>
              </w:rPr>
              <w:t>F2</w:t>
            </w:r>
          </w:p>
        </w:tc>
        <w:tc>
          <w:tcPr>
            <w:tcW w:w="1574" w:type="dxa"/>
          </w:tcPr>
          <w:p w14:paraId="01A7AE62" w14:textId="77777777" w:rsidR="00D460AE" w:rsidRPr="00076670" w:rsidRDefault="00000000" w:rsidP="00076670">
            <w:pPr>
              <w:pStyle w:val="TableParagraph"/>
              <w:spacing w:line="276" w:lineRule="auto"/>
              <w:ind w:right="-29"/>
              <w:jc w:val="both"/>
              <w:rPr>
                <w:b/>
                <w:color w:val="000000"/>
                <w:sz w:val="20"/>
                <w:szCs w:val="20"/>
              </w:rPr>
            </w:pPr>
            <w:r w:rsidRPr="00076670">
              <w:rPr>
                <w:b/>
                <w:color w:val="000000"/>
                <w:spacing w:val="-5"/>
                <w:sz w:val="20"/>
                <w:szCs w:val="20"/>
              </w:rPr>
              <w:t>F3</w:t>
            </w:r>
          </w:p>
        </w:tc>
        <w:tc>
          <w:tcPr>
            <w:tcW w:w="1481" w:type="dxa"/>
          </w:tcPr>
          <w:p w14:paraId="18D9A85E" w14:textId="77777777" w:rsidR="00D460AE" w:rsidRPr="00076670" w:rsidRDefault="00000000" w:rsidP="00076670">
            <w:pPr>
              <w:pStyle w:val="TableParagraph"/>
              <w:spacing w:line="276" w:lineRule="auto"/>
              <w:ind w:right="-29"/>
              <w:jc w:val="both"/>
              <w:rPr>
                <w:b/>
                <w:color w:val="000000"/>
                <w:sz w:val="20"/>
                <w:szCs w:val="20"/>
              </w:rPr>
            </w:pPr>
            <w:r w:rsidRPr="00076670">
              <w:rPr>
                <w:b/>
                <w:color w:val="000000"/>
                <w:spacing w:val="-5"/>
                <w:sz w:val="20"/>
                <w:szCs w:val="20"/>
              </w:rPr>
              <w:t>F4</w:t>
            </w:r>
          </w:p>
        </w:tc>
      </w:tr>
      <w:tr w:rsidR="00D460AE" w:rsidRPr="00076670" w14:paraId="0F1365C2" w14:textId="77777777" w:rsidTr="00076670">
        <w:trPr>
          <w:trHeight w:val="629"/>
        </w:trPr>
        <w:tc>
          <w:tcPr>
            <w:tcW w:w="2131" w:type="dxa"/>
          </w:tcPr>
          <w:p w14:paraId="78B9EEC5"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Color</w:t>
            </w:r>
          </w:p>
        </w:tc>
        <w:tc>
          <w:tcPr>
            <w:tcW w:w="1480" w:type="dxa"/>
          </w:tcPr>
          <w:p w14:paraId="1009FE9F"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Yellow</w:t>
            </w:r>
          </w:p>
        </w:tc>
        <w:tc>
          <w:tcPr>
            <w:tcW w:w="1663" w:type="dxa"/>
          </w:tcPr>
          <w:p w14:paraId="6A79C166"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Yellow</w:t>
            </w:r>
          </w:p>
        </w:tc>
        <w:tc>
          <w:tcPr>
            <w:tcW w:w="1574" w:type="dxa"/>
          </w:tcPr>
          <w:p w14:paraId="5BFD4344"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Yellow</w:t>
            </w:r>
          </w:p>
        </w:tc>
        <w:tc>
          <w:tcPr>
            <w:tcW w:w="1481" w:type="dxa"/>
          </w:tcPr>
          <w:p w14:paraId="1E0A600C"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Orange</w:t>
            </w:r>
          </w:p>
        </w:tc>
      </w:tr>
      <w:tr w:rsidR="00D460AE" w:rsidRPr="00076670" w14:paraId="302A9059" w14:textId="77777777" w:rsidTr="00076670">
        <w:trPr>
          <w:trHeight w:val="645"/>
        </w:trPr>
        <w:tc>
          <w:tcPr>
            <w:tcW w:w="2131" w:type="dxa"/>
          </w:tcPr>
          <w:p w14:paraId="76337C32"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odour</w:t>
            </w:r>
          </w:p>
        </w:tc>
        <w:tc>
          <w:tcPr>
            <w:tcW w:w="1480" w:type="dxa"/>
          </w:tcPr>
          <w:p w14:paraId="30307743"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Aromatic</w:t>
            </w:r>
          </w:p>
        </w:tc>
        <w:tc>
          <w:tcPr>
            <w:tcW w:w="1663" w:type="dxa"/>
          </w:tcPr>
          <w:p w14:paraId="4E5C0ACC"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Aromatic</w:t>
            </w:r>
          </w:p>
        </w:tc>
        <w:tc>
          <w:tcPr>
            <w:tcW w:w="1574" w:type="dxa"/>
          </w:tcPr>
          <w:p w14:paraId="3C171C8F"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Aromatic</w:t>
            </w:r>
          </w:p>
        </w:tc>
        <w:tc>
          <w:tcPr>
            <w:tcW w:w="1481" w:type="dxa"/>
          </w:tcPr>
          <w:p w14:paraId="5DAF7BBB"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Aromatic</w:t>
            </w:r>
          </w:p>
        </w:tc>
      </w:tr>
      <w:tr w:rsidR="00D460AE" w:rsidRPr="00076670" w14:paraId="0B98B588" w14:textId="77777777" w:rsidTr="00076670">
        <w:trPr>
          <w:trHeight w:val="652"/>
        </w:trPr>
        <w:tc>
          <w:tcPr>
            <w:tcW w:w="2131" w:type="dxa"/>
          </w:tcPr>
          <w:p w14:paraId="6BF070E2"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texture</w:t>
            </w:r>
          </w:p>
        </w:tc>
        <w:tc>
          <w:tcPr>
            <w:tcW w:w="1480" w:type="dxa"/>
          </w:tcPr>
          <w:p w14:paraId="0227840B"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Sticky</w:t>
            </w:r>
          </w:p>
        </w:tc>
        <w:tc>
          <w:tcPr>
            <w:tcW w:w="1663" w:type="dxa"/>
          </w:tcPr>
          <w:p w14:paraId="410149E0"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2"/>
                <w:sz w:val="20"/>
                <w:szCs w:val="20"/>
              </w:rPr>
              <w:t>Sticky</w:t>
            </w:r>
          </w:p>
        </w:tc>
        <w:tc>
          <w:tcPr>
            <w:tcW w:w="1574" w:type="dxa"/>
          </w:tcPr>
          <w:p w14:paraId="697BF2D6"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4"/>
                <w:sz w:val="20"/>
                <w:szCs w:val="20"/>
              </w:rPr>
              <w:t>Soft</w:t>
            </w:r>
          </w:p>
        </w:tc>
        <w:tc>
          <w:tcPr>
            <w:tcW w:w="1481" w:type="dxa"/>
          </w:tcPr>
          <w:p w14:paraId="531FF221" w14:textId="77777777" w:rsidR="00D460AE" w:rsidRPr="00076670" w:rsidRDefault="00000000" w:rsidP="00076670">
            <w:pPr>
              <w:pStyle w:val="TableParagraph"/>
              <w:spacing w:line="276" w:lineRule="auto"/>
              <w:ind w:right="-29"/>
              <w:jc w:val="both"/>
              <w:rPr>
                <w:color w:val="000000"/>
                <w:sz w:val="20"/>
                <w:szCs w:val="20"/>
              </w:rPr>
            </w:pPr>
            <w:r w:rsidRPr="00076670">
              <w:rPr>
                <w:color w:val="000000"/>
                <w:spacing w:val="-4"/>
                <w:sz w:val="20"/>
                <w:szCs w:val="20"/>
              </w:rPr>
              <w:t>Soft</w:t>
            </w:r>
          </w:p>
        </w:tc>
      </w:tr>
    </w:tbl>
    <w:p w14:paraId="7C78D834" w14:textId="77777777" w:rsidR="00D460AE" w:rsidRPr="00076670" w:rsidRDefault="00D460AE" w:rsidP="00076670">
      <w:pPr>
        <w:pStyle w:val="BodyText"/>
        <w:spacing w:line="276" w:lineRule="auto"/>
        <w:ind w:right="-29"/>
        <w:jc w:val="both"/>
        <w:rPr>
          <w:color w:val="000000"/>
          <w:sz w:val="20"/>
          <w:szCs w:val="20"/>
        </w:rPr>
      </w:pPr>
    </w:p>
    <w:p w14:paraId="37180B7E" w14:textId="77777777" w:rsidR="00076670" w:rsidRDefault="00076670" w:rsidP="00076670">
      <w:pPr>
        <w:pStyle w:val="ListParagraph"/>
        <w:tabs>
          <w:tab w:val="left" w:pos="1170"/>
        </w:tabs>
        <w:spacing w:line="276" w:lineRule="auto"/>
        <w:ind w:left="0" w:right="-29" w:firstLine="0"/>
        <w:jc w:val="both"/>
        <w:rPr>
          <w:b/>
          <w:color w:val="000000"/>
          <w:sz w:val="20"/>
          <w:szCs w:val="20"/>
        </w:rPr>
      </w:pPr>
    </w:p>
    <w:p w14:paraId="63DCDA27" w14:textId="77777777" w:rsidR="00076670" w:rsidRDefault="00076670" w:rsidP="00076670">
      <w:pPr>
        <w:pStyle w:val="ListParagraph"/>
        <w:tabs>
          <w:tab w:val="left" w:pos="1170"/>
        </w:tabs>
        <w:spacing w:line="276" w:lineRule="auto"/>
        <w:ind w:left="0" w:right="-29" w:firstLine="0"/>
        <w:jc w:val="both"/>
        <w:rPr>
          <w:b/>
          <w:color w:val="000000"/>
          <w:sz w:val="20"/>
          <w:szCs w:val="20"/>
        </w:rPr>
      </w:pPr>
    </w:p>
    <w:p w14:paraId="430B2CC4" w14:textId="2AA9ED26" w:rsidR="00D460AE" w:rsidRPr="00076670" w:rsidRDefault="00076670" w:rsidP="00076670">
      <w:pPr>
        <w:pStyle w:val="ListParagraph"/>
        <w:tabs>
          <w:tab w:val="left" w:pos="1170"/>
        </w:tabs>
        <w:spacing w:line="276" w:lineRule="auto"/>
        <w:ind w:left="0" w:right="-29" w:firstLine="0"/>
        <w:jc w:val="both"/>
        <w:rPr>
          <w:b/>
          <w:color w:val="000000"/>
          <w:spacing w:val="-5"/>
          <w:sz w:val="20"/>
          <w:szCs w:val="20"/>
        </w:rPr>
      </w:pPr>
      <w:r>
        <w:rPr>
          <w:b/>
          <w:color w:val="000000"/>
          <w:sz w:val="20"/>
          <w:szCs w:val="20"/>
        </w:rPr>
        <w:lastRenderedPageBreak/>
        <w:t>\</w:t>
      </w:r>
      <w:r w:rsidRPr="00076670">
        <w:rPr>
          <w:b/>
          <w:color w:val="000000"/>
          <w:sz w:val="20"/>
          <w:szCs w:val="20"/>
        </w:rPr>
        <w:t>Measurement</w:t>
      </w:r>
      <w:r w:rsidRPr="00076670">
        <w:rPr>
          <w:b/>
          <w:color w:val="000000"/>
          <w:spacing w:val="-4"/>
          <w:sz w:val="20"/>
          <w:szCs w:val="20"/>
        </w:rPr>
        <w:t xml:space="preserve"> </w:t>
      </w:r>
      <w:r w:rsidRPr="00076670">
        <w:rPr>
          <w:b/>
          <w:color w:val="000000"/>
          <w:sz w:val="20"/>
          <w:szCs w:val="20"/>
        </w:rPr>
        <w:t>of</w:t>
      </w:r>
      <w:r w:rsidRPr="00076670">
        <w:rPr>
          <w:b/>
          <w:color w:val="000000"/>
          <w:spacing w:val="-5"/>
          <w:sz w:val="20"/>
          <w:szCs w:val="20"/>
        </w:rPr>
        <w:t xml:space="preserve"> pH.</w:t>
      </w:r>
    </w:p>
    <w:p w14:paraId="1EC12802" w14:textId="77777777" w:rsidR="00D460AE" w:rsidRPr="00076670" w:rsidRDefault="00000000" w:rsidP="00076670">
      <w:pPr>
        <w:pStyle w:val="ListParagraph"/>
        <w:tabs>
          <w:tab w:val="left" w:pos="1170"/>
        </w:tabs>
        <w:spacing w:line="276" w:lineRule="auto"/>
        <w:ind w:left="0" w:right="-29" w:firstLine="0"/>
        <w:jc w:val="both"/>
        <w:rPr>
          <w:b/>
          <w:color w:val="000000"/>
          <w:sz w:val="20"/>
          <w:szCs w:val="20"/>
        </w:rPr>
      </w:pPr>
      <w:r w:rsidRPr="00076670">
        <w:rPr>
          <w:color w:val="000000"/>
          <w:sz w:val="20"/>
          <w:szCs w:val="20"/>
        </w:rPr>
        <w:t>A</w:t>
      </w:r>
      <w:r w:rsidRPr="00076670">
        <w:rPr>
          <w:color w:val="000000"/>
          <w:spacing w:val="-9"/>
          <w:sz w:val="20"/>
          <w:szCs w:val="20"/>
        </w:rPr>
        <w:t xml:space="preserve"> </w:t>
      </w:r>
      <w:r w:rsidRPr="00076670">
        <w:rPr>
          <w:color w:val="000000"/>
          <w:sz w:val="20"/>
          <w:szCs w:val="20"/>
        </w:rPr>
        <w:t>digital</w:t>
      </w:r>
      <w:r w:rsidRPr="00076670">
        <w:rPr>
          <w:color w:val="000000"/>
          <w:spacing w:val="-10"/>
          <w:sz w:val="20"/>
          <w:szCs w:val="20"/>
        </w:rPr>
        <w:t xml:space="preserve"> </w:t>
      </w:r>
      <w:r w:rsidRPr="00076670">
        <w:rPr>
          <w:color w:val="000000"/>
          <w:sz w:val="20"/>
          <w:szCs w:val="20"/>
        </w:rPr>
        <w:t>pH</w:t>
      </w:r>
      <w:r w:rsidRPr="00076670">
        <w:rPr>
          <w:color w:val="000000"/>
          <w:spacing w:val="3"/>
          <w:sz w:val="20"/>
          <w:szCs w:val="20"/>
        </w:rPr>
        <w:t xml:space="preserve"> </w:t>
      </w:r>
      <w:r w:rsidRPr="00076670">
        <w:rPr>
          <w:color w:val="000000"/>
          <w:sz w:val="20"/>
          <w:szCs w:val="20"/>
        </w:rPr>
        <w:t>meter was</w:t>
      </w:r>
      <w:r w:rsidRPr="00076670">
        <w:rPr>
          <w:color w:val="000000"/>
          <w:spacing w:val="-2"/>
          <w:sz w:val="20"/>
          <w:szCs w:val="20"/>
        </w:rPr>
        <w:t xml:space="preserve"> </w:t>
      </w:r>
      <w:r w:rsidRPr="00076670">
        <w:rPr>
          <w:color w:val="000000"/>
          <w:sz w:val="20"/>
          <w:szCs w:val="20"/>
        </w:rPr>
        <w:t>used</w:t>
      </w:r>
      <w:r w:rsidRPr="00076670">
        <w:rPr>
          <w:color w:val="000000"/>
          <w:spacing w:val="-6"/>
          <w:sz w:val="20"/>
          <w:szCs w:val="20"/>
        </w:rPr>
        <w:t xml:space="preserve"> </w:t>
      </w:r>
      <w:r w:rsidRPr="00076670">
        <w:rPr>
          <w:color w:val="000000"/>
          <w:sz w:val="20"/>
          <w:szCs w:val="20"/>
        </w:rPr>
        <w:t>to</w:t>
      </w:r>
      <w:r w:rsidRPr="00076670">
        <w:rPr>
          <w:color w:val="000000"/>
          <w:spacing w:val="4"/>
          <w:sz w:val="20"/>
          <w:szCs w:val="20"/>
        </w:rPr>
        <w:t xml:space="preserve"> </w:t>
      </w:r>
      <w:r w:rsidRPr="00076670">
        <w:rPr>
          <w:color w:val="000000"/>
          <w:sz w:val="20"/>
          <w:szCs w:val="20"/>
        </w:rPr>
        <w:t>determine</w:t>
      </w:r>
      <w:r w:rsidRPr="00076670">
        <w:rPr>
          <w:color w:val="000000"/>
          <w:spacing w:val="-2"/>
          <w:sz w:val="20"/>
          <w:szCs w:val="20"/>
        </w:rPr>
        <w:t xml:space="preserve"> </w:t>
      </w:r>
      <w:r w:rsidRPr="00076670">
        <w:rPr>
          <w:color w:val="000000"/>
          <w:sz w:val="20"/>
          <w:szCs w:val="20"/>
        </w:rPr>
        <w:t>the</w:t>
      </w:r>
      <w:r w:rsidRPr="00076670">
        <w:rPr>
          <w:color w:val="000000"/>
          <w:spacing w:val="3"/>
          <w:sz w:val="20"/>
          <w:szCs w:val="20"/>
        </w:rPr>
        <w:t xml:space="preserve"> </w:t>
      </w:r>
      <w:r w:rsidRPr="00076670">
        <w:rPr>
          <w:color w:val="000000"/>
          <w:sz w:val="20"/>
          <w:szCs w:val="20"/>
        </w:rPr>
        <w:t>formulation</w:t>
      </w:r>
      <w:r w:rsidRPr="00076670">
        <w:rPr>
          <w:color w:val="000000"/>
          <w:spacing w:val="-6"/>
          <w:sz w:val="20"/>
          <w:szCs w:val="20"/>
        </w:rPr>
        <w:t xml:space="preserve"> </w:t>
      </w:r>
      <w:r w:rsidRPr="00076670">
        <w:rPr>
          <w:color w:val="000000"/>
          <w:sz w:val="20"/>
          <w:szCs w:val="20"/>
        </w:rPr>
        <w:t>pH</w:t>
      </w:r>
      <w:r w:rsidRPr="00076670">
        <w:rPr>
          <w:color w:val="000000"/>
          <w:spacing w:val="-1"/>
          <w:sz w:val="20"/>
          <w:szCs w:val="20"/>
        </w:rPr>
        <w:t xml:space="preserve"> </w:t>
      </w:r>
      <w:r w:rsidRPr="00076670">
        <w:rPr>
          <w:color w:val="000000"/>
          <w:spacing w:val="-2"/>
          <w:sz w:val="20"/>
          <w:szCs w:val="20"/>
        </w:rPr>
        <w:t>value.</w:t>
      </w:r>
    </w:p>
    <w:p w14:paraId="48DCDC9B" w14:textId="77777777" w:rsidR="00076670" w:rsidRDefault="00076670" w:rsidP="00076670">
      <w:pPr>
        <w:pStyle w:val="Heading5"/>
        <w:spacing w:before="0"/>
        <w:ind w:right="-29"/>
        <w:jc w:val="center"/>
        <w:rPr>
          <w:rFonts w:ascii="Times New Roman" w:hAnsi="Times New Roman" w:cs="Times New Roman"/>
          <w:b/>
          <w:color w:val="000000"/>
          <w:sz w:val="20"/>
          <w:szCs w:val="20"/>
        </w:rPr>
      </w:pPr>
    </w:p>
    <w:p w14:paraId="73288F2B" w14:textId="6E658CF1" w:rsidR="00D460AE" w:rsidRPr="00076670" w:rsidRDefault="00000000" w:rsidP="00076670">
      <w:pPr>
        <w:pStyle w:val="Heading5"/>
        <w:spacing w:before="0"/>
        <w:ind w:right="-29"/>
        <w:jc w:val="center"/>
        <w:rPr>
          <w:rFonts w:ascii="Times New Roman" w:hAnsi="Times New Roman" w:cs="Times New Roman"/>
          <w:b/>
          <w:color w:val="000000"/>
          <w:spacing w:val="-2"/>
          <w:sz w:val="20"/>
          <w:szCs w:val="20"/>
        </w:rPr>
      </w:pPr>
      <w:r w:rsidRPr="00076670">
        <w:rPr>
          <w:rFonts w:ascii="Times New Roman" w:hAnsi="Times New Roman" w:cs="Times New Roman"/>
          <w:b/>
          <w:color w:val="000000"/>
          <w:sz w:val="20"/>
          <w:szCs w:val="20"/>
        </w:rPr>
        <w:t>Table4:</w:t>
      </w:r>
      <w:r w:rsidRPr="00076670">
        <w:rPr>
          <w:rFonts w:ascii="Times New Roman" w:hAnsi="Times New Roman" w:cs="Times New Roman"/>
          <w:b/>
          <w:color w:val="000000"/>
          <w:spacing w:val="-2"/>
          <w:sz w:val="20"/>
          <w:szCs w:val="20"/>
        </w:rPr>
        <w:t xml:space="preserve"> </w:t>
      </w:r>
      <w:r w:rsidRPr="00076670">
        <w:rPr>
          <w:rFonts w:ascii="Times New Roman" w:hAnsi="Times New Roman" w:cs="Times New Roman"/>
          <w:b/>
          <w:color w:val="000000"/>
          <w:sz w:val="20"/>
          <w:szCs w:val="20"/>
        </w:rPr>
        <w:t>pH</w:t>
      </w:r>
      <w:r w:rsidRPr="00076670">
        <w:rPr>
          <w:rFonts w:ascii="Times New Roman" w:hAnsi="Times New Roman" w:cs="Times New Roman"/>
          <w:b/>
          <w:color w:val="000000"/>
          <w:spacing w:val="-3"/>
          <w:sz w:val="20"/>
          <w:szCs w:val="20"/>
        </w:rPr>
        <w:t xml:space="preserve"> </w:t>
      </w:r>
      <w:r w:rsidRPr="00076670">
        <w:rPr>
          <w:rFonts w:ascii="Times New Roman" w:hAnsi="Times New Roman" w:cs="Times New Roman"/>
          <w:b/>
          <w:color w:val="000000"/>
          <w:spacing w:val="-2"/>
          <w:sz w:val="20"/>
          <w:szCs w:val="20"/>
        </w:rPr>
        <w:t>measurement.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1441"/>
        <w:gridCol w:w="1619"/>
        <w:gridCol w:w="1533"/>
        <w:gridCol w:w="1442"/>
      </w:tblGrid>
      <w:tr w:rsidR="00D460AE" w:rsidRPr="00076670" w14:paraId="4CED8B42" w14:textId="77777777">
        <w:trPr>
          <w:trHeight w:val="417"/>
          <w:jc w:val="center"/>
        </w:trPr>
        <w:tc>
          <w:tcPr>
            <w:tcW w:w="2070" w:type="dxa"/>
            <w:vAlign w:val="center"/>
          </w:tcPr>
          <w:p w14:paraId="76095888" w14:textId="77777777" w:rsidR="00D460AE" w:rsidRPr="00076670" w:rsidRDefault="00D460AE" w:rsidP="00076670">
            <w:pPr>
              <w:pStyle w:val="TableParagraph"/>
              <w:spacing w:line="276" w:lineRule="auto"/>
              <w:ind w:right="-29"/>
              <w:jc w:val="center"/>
              <w:rPr>
                <w:color w:val="000000"/>
                <w:sz w:val="20"/>
                <w:szCs w:val="20"/>
              </w:rPr>
            </w:pPr>
          </w:p>
        </w:tc>
        <w:tc>
          <w:tcPr>
            <w:tcW w:w="1441" w:type="dxa"/>
            <w:vAlign w:val="center"/>
          </w:tcPr>
          <w:p w14:paraId="5F96599B"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5"/>
                <w:sz w:val="20"/>
                <w:szCs w:val="20"/>
              </w:rPr>
              <w:t>F1</w:t>
            </w:r>
          </w:p>
        </w:tc>
        <w:tc>
          <w:tcPr>
            <w:tcW w:w="1619" w:type="dxa"/>
            <w:vAlign w:val="center"/>
          </w:tcPr>
          <w:p w14:paraId="25F8876C"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5"/>
                <w:sz w:val="20"/>
                <w:szCs w:val="20"/>
              </w:rPr>
              <w:t>F2</w:t>
            </w:r>
          </w:p>
        </w:tc>
        <w:tc>
          <w:tcPr>
            <w:tcW w:w="1533" w:type="dxa"/>
            <w:vAlign w:val="center"/>
          </w:tcPr>
          <w:p w14:paraId="4A6FF43B"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5"/>
                <w:sz w:val="20"/>
                <w:szCs w:val="20"/>
              </w:rPr>
              <w:t>F3</w:t>
            </w:r>
          </w:p>
        </w:tc>
        <w:tc>
          <w:tcPr>
            <w:tcW w:w="1442" w:type="dxa"/>
            <w:vAlign w:val="center"/>
          </w:tcPr>
          <w:p w14:paraId="43F9458A"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5"/>
                <w:sz w:val="20"/>
                <w:szCs w:val="20"/>
              </w:rPr>
              <w:t>F4</w:t>
            </w:r>
          </w:p>
        </w:tc>
      </w:tr>
      <w:tr w:rsidR="00D460AE" w:rsidRPr="00076670" w14:paraId="24D8EC4C" w14:textId="77777777">
        <w:trPr>
          <w:trHeight w:val="407"/>
          <w:jc w:val="center"/>
        </w:trPr>
        <w:tc>
          <w:tcPr>
            <w:tcW w:w="2070" w:type="dxa"/>
            <w:vAlign w:val="center"/>
          </w:tcPr>
          <w:p w14:paraId="500451CB"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pacing w:val="-5"/>
                <w:sz w:val="20"/>
                <w:szCs w:val="20"/>
              </w:rPr>
              <w:t>pH</w:t>
            </w:r>
          </w:p>
        </w:tc>
        <w:tc>
          <w:tcPr>
            <w:tcW w:w="1441" w:type="dxa"/>
            <w:vAlign w:val="center"/>
          </w:tcPr>
          <w:p w14:paraId="50C2CB63"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6.1</w:t>
            </w:r>
          </w:p>
        </w:tc>
        <w:tc>
          <w:tcPr>
            <w:tcW w:w="1619" w:type="dxa"/>
            <w:vAlign w:val="center"/>
          </w:tcPr>
          <w:p w14:paraId="5C016B5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6.2</w:t>
            </w:r>
          </w:p>
        </w:tc>
        <w:tc>
          <w:tcPr>
            <w:tcW w:w="1533" w:type="dxa"/>
            <w:vAlign w:val="center"/>
          </w:tcPr>
          <w:p w14:paraId="3D806C75"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6.9</w:t>
            </w:r>
          </w:p>
        </w:tc>
        <w:tc>
          <w:tcPr>
            <w:tcW w:w="1442" w:type="dxa"/>
            <w:vAlign w:val="center"/>
          </w:tcPr>
          <w:p w14:paraId="02CD9BA6"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6.5</w:t>
            </w:r>
          </w:p>
        </w:tc>
      </w:tr>
    </w:tbl>
    <w:p w14:paraId="30EDF3E8" w14:textId="77777777" w:rsidR="00D460AE" w:rsidRPr="00076670" w:rsidRDefault="00D460AE" w:rsidP="00076670">
      <w:pPr>
        <w:pStyle w:val="BodyText"/>
        <w:tabs>
          <w:tab w:val="left" w:pos="5910"/>
        </w:tabs>
        <w:spacing w:line="276" w:lineRule="auto"/>
        <w:ind w:right="-29"/>
        <w:jc w:val="both"/>
        <w:rPr>
          <w:b/>
          <w:color w:val="000000"/>
          <w:sz w:val="20"/>
          <w:szCs w:val="20"/>
        </w:rPr>
      </w:pPr>
    </w:p>
    <w:p w14:paraId="33B2E306" w14:textId="77777777" w:rsidR="00D460AE" w:rsidRPr="00076670" w:rsidRDefault="00000000" w:rsidP="00076670">
      <w:pPr>
        <w:pStyle w:val="BodyText"/>
        <w:tabs>
          <w:tab w:val="left" w:pos="5910"/>
        </w:tabs>
        <w:spacing w:line="276" w:lineRule="auto"/>
        <w:ind w:right="-29"/>
        <w:jc w:val="center"/>
        <w:rPr>
          <w:b/>
          <w:color w:val="000000"/>
          <w:sz w:val="20"/>
          <w:szCs w:val="20"/>
        </w:rPr>
      </w:pPr>
      <w:r w:rsidRPr="00076670">
        <w:rPr>
          <w:noProof/>
          <w:color w:val="000000"/>
          <w:sz w:val="20"/>
          <w:szCs w:val="20"/>
        </w:rPr>
        <w:drawing>
          <wp:inline distT="0" distB="0" distL="0" distR="0" wp14:anchorId="65A87A49" wp14:editId="0EBF5BAD">
            <wp:extent cx="3624698" cy="2630078"/>
            <wp:effectExtent l="0" t="0" r="0" b="0"/>
            <wp:docPr id="1031"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77"/>
                    <pic:cNvPicPr/>
                  </pic:nvPicPr>
                  <pic:blipFill>
                    <a:blip r:embed="rId19" cstate="print"/>
                    <a:srcRect/>
                    <a:stretch/>
                  </pic:blipFill>
                  <pic:spPr>
                    <a:xfrm>
                      <a:off x="0" y="0"/>
                      <a:ext cx="3633684" cy="2636598"/>
                    </a:xfrm>
                    <a:prstGeom prst="rect">
                      <a:avLst/>
                    </a:prstGeom>
                  </pic:spPr>
                </pic:pic>
              </a:graphicData>
            </a:graphic>
          </wp:inline>
        </w:drawing>
      </w:r>
    </w:p>
    <w:p w14:paraId="70BC2B8D" w14:textId="77777777" w:rsidR="00D460AE" w:rsidRPr="00076670" w:rsidRDefault="00000000" w:rsidP="00076670">
      <w:pPr>
        <w:spacing w:after="0"/>
        <w:ind w:right="-29"/>
        <w:jc w:val="center"/>
        <w:rPr>
          <w:rFonts w:ascii="Times New Roman" w:hAnsi="Times New Roman" w:cs="Times New Roman"/>
          <w:b/>
          <w:sz w:val="20"/>
          <w:szCs w:val="20"/>
        </w:rPr>
      </w:pPr>
      <w:r w:rsidRPr="00076670">
        <w:rPr>
          <w:rFonts w:ascii="Times New Roman" w:hAnsi="Times New Roman" w:cs="Times New Roman"/>
          <w:b/>
          <w:sz w:val="20"/>
          <w:szCs w:val="20"/>
        </w:rPr>
        <w:t>Fig 6: pH meter.</w:t>
      </w:r>
    </w:p>
    <w:p w14:paraId="7DDFC046" w14:textId="77777777" w:rsidR="00D460AE" w:rsidRPr="00076670" w:rsidRDefault="00000000" w:rsidP="00076670">
      <w:pPr>
        <w:spacing w:after="0"/>
        <w:ind w:right="-29"/>
        <w:jc w:val="both"/>
        <w:rPr>
          <w:rFonts w:ascii="Times New Roman" w:hAnsi="Times New Roman" w:cs="Times New Roman"/>
          <w:b/>
          <w:sz w:val="20"/>
          <w:szCs w:val="20"/>
        </w:rPr>
      </w:pPr>
      <w:r w:rsidRPr="00076670">
        <w:rPr>
          <w:rFonts w:ascii="Times New Roman" w:hAnsi="Times New Roman" w:cs="Times New Roman"/>
          <w:b/>
          <w:color w:val="000000"/>
          <w:spacing w:val="-2"/>
          <w:sz w:val="20"/>
          <w:szCs w:val="20"/>
        </w:rPr>
        <w:t>Syneresis.</w:t>
      </w:r>
    </w:p>
    <w:p w14:paraId="0BE0279B" w14:textId="397C97B5"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t>The jellies are stored at room temperature for 24 hours and observed for syneresis. No change was observed in the jellies.</w:t>
      </w:r>
    </w:p>
    <w:p w14:paraId="315C279F" w14:textId="77777777" w:rsidR="00D460AE" w:rsidRPr="00076670" w:rsidRDefault="00D460AE" w:rsidP="00076670">
      <w:pPr>
        <w:pStyle w:val="BodyText"/>
        <w:spacing w:line="276" w:lineRule="auto"/>
        <w:ind w:right="-29"/>
        <w:jc w:val="both"/>
        <w:rPr>
          <w:color w:val="000000"/>
          <w:sz w:val="20"/>
          <w:szCs w:val="20"/>
        </w:rPr>
      </w:pPr>
    </w:p>
    <w:p w14:paraId="3DC9CF79" w14:textId="76D207E3" w:rsidR="00076670" w:rsidRDefault="00076670" w:rsidP="00076670">
      <w:pPr>
        <w:pStyle w:val="BodyText"/>
        <w:tabs>
          <w:tab w:val="left" w:pos="5041"/>
        </w:tabs>
        <w:spacing w:line="276" w:lineRule="auto"/>
        <w:ind w:right="-29"/>
        <w:jc w:val="center"/>
        <w:rPr>
          <w:noProof/>
          <w:color w:val="000000"/>
          <w:sz w:val="20"/>
          <w:szCs w:val="20"/>
        </w:rPr>
      </w:pPr>
      <w:r>
        <w:rPr>
          <w:noProof/>
          <w:color w:val="000000"/>
          <w:sz w:val="20"/>
          <w:szCs w:val="20"/>
        </w:rPr>
        <w:drawing>
          <wp:inline distT="0" distB="0" distL="0" distR="0" wp14:anchorId="475F4870" wp14:editId="5636415E">
            <wp:extent cx="2627630" cy="3182620"/>
            <wp:effectExtent l="0" t="0" r="1270" b="0"/>
            <wp:docPr id="1553001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7630" cy="3182620"/>
                    </a:xfrm>
                    <a:prstGeom prst="rect">
                      <a:avLst/>
                    </a:prstGeom>
                    <a:noFill/>
                  </pic:spPr>
                </pic:pic>
              </a:graphicData>
            </a:graphic>
          </wp:inline>
        </w:drawing>
      </w:r>
      <w:r>
        <w:rPr>
          <w:noProof/>
          <w:color w:val="000000"/>
          <w:sz w:val="20"/>
          <w:szCs w:val="20"/>
        </w:rPr>
        <w:drawing>
          <wp:inline distT="0" distB="0" distL="0" distR="0" wp14:anchorId="61F49262" wp14:editId="4CF44EB8">
            <wp:extent cx="2834640" cy="3176270"/>
            <wp:effectExtent l="0" t="0" r="3810" b="5080"/>
            <wp:docPr id="16221384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34640" cy="3176270"/>
                    </a:xfrm>
                    <a:prstGeom prst="rect">
                      <a:avLst/>
                    </a:prstGeom>
                    <a:noFill/>
                  </pic:spPr>
                </pic:pic>
              </a:graphicData>
            </a:graphic>
          </wp:inline>
        </w:drawing>
      </w:r>
    </w:p>
    <w:p w14:paraId="3768CF16" w14:textId="534CA103" w:rsidR="00D460AE" w:rsidRPr="00076670" w:rsidRDefault="00000000" w:rsidP="00076670">
      <w:pPr>
        <w:pStyle w:val="BodyText"/>
        <w:tabs>
          <w:tab w:val="left" w:pos="5041"/>
        </w:tabs>
        <w:spacing w:line="276" w:lineRule="auto"/>
        <w:ind w:right="-29"/>
        <w:jc w:val="center"/>
        <w:rPr>
          <w:color w:val="000000"/>
          <w:sz w:val="20"/>
          <w:szCs w:val="20"/>
        </w:rPr>
      </w:pPr>
      <w:r w:rsidRPr="00076670">
        <w:rPr>
          <w:color w:val="000000"/>
          <w:sz w:val="20"/>
          <w:szCs w:val="20"/>
        </w:rPr>
        <w:t>Fig</w:t>
      </w:r>
      <w:r w:rsidRPr="00076670">
        <w:rPr>
          <w:color w:val="000000"/>
          <w:spacing w:val="-1"/>
          <w:sz w:val="20"/>
          <w:szCs w:val="20"/>
        </w:rPr>
        <w:t xml:space="preserve"> </w:t>
      </w:r>
      <w:r w:rsidRPr="00076670">
        <w:rPr>
          <w:color w:val="000000"/>
          <w:sz w:val="20"/>
          <w:szCs w:val="20"/>
        </w:rPr>
        <w:t>7:</w:t>
      </w:r>
      <w:r w:rsidRPr="00076670">
        <w:rPr>
          <w:color w:val="000000"/>
          <w:spacing w:val="-1"/>
          <w:sz w:val="20"/>
          <w:szCs w:val="20"/>
        </w:rPr>
        <w:t xml:space="preserve"> </w:t>
      </w:r>
      <w:r w:rsidRPr="00076670">
        <w:rPr>
          <w:color w:val="000000"/>
          <w:sz w:val="20"/>
          <w:szCs w:val="20"/>
        </w:rPr>
        <w:t>Freshly</w:t>
      </w:r>
      <w:r w:rsidRPr="00076670">
        <w:rPr>
          <w:color w:val="000000"/>
          <w:spacing w:val="-10"/>
          <w:sz w:val="20"/>
          <w:szCs w:val="20"/>
        </w:rPr>
        <w:t xml:space="preserve"> </w:t>
      </w:r>
      <w:r w:rsidRPr="00076670">
        <w:rPr>
          <w:color w:val="000000"/>
          <w:sz w:val="20"/>
          <w:szCs w:val="20"/>
        </w:rPr>
        <w:t>prepared</w:t>
      </w:r>
      <w:r w:rsidRPr="00076670">
        <w:rPr>
          <w:color w:val="000000"/>
          <w:spacing w:val="3"/>
          <w:sz w:val="20"/>
          <w:szCs w:val="20"/>
        </w:rPr>
        <w:t xml:space="preserve"> </w:t>
      </w:r>
      <w:r w:rsidRPr="00076670">
        <w:rPr>
          <w:color w:val="000000"/>
          <w:spacing w:val="-2"/>
          <w:sz w:val="20"/>
          <w:szCs w:val="20"/>
        </w:rPr>
        <w:t>jellies.</w:t>
      </w:r>
      <w:r w:rsidRPr="00076670">
        <w:rPr>
          <w:color w:val="000000"/>
          <w:sz w:val="20"/>
          <w:szCs w:val="20"/>
        </w:rPr>
        <w:t xml:space="preserve">                            Fig8:</w:t>
      </w:r>
      <w:r w:rsidRPr="00076670">
        <w:rPr>
          <w:color w:val="000000"/>
          <w:spacing w:val="-4"/>
          <w:sz w:val="20"/>
          <w:szCs w:val="20"/>
        </w:rPr>
        <w:t xml:space="preserve"> </w:t>
      </w:r>
      <w:r w:rsidRPr="00076670">
        <w:rPr>
          <w:color w:val="000000"/>
          <w:sz w:val="20"/>
          <w:szCs w:val="20"/>
        </w:rPr>
        <w:t>Jellies</w:t>
      </w:r>
      <w:r w:rsidRPr="00076670">
        <w:rPr>
          <w:color w:val="000000"/>
          <w:spacing w:val="-4"/>
          <w:sz w:val="20"/>
          <w:szCs w:val="20"/>
        </w:rPr>
        <w:t xml:space="preserve"> </w:t>
      </w:r>
      <w:r w:rsidRPr="00076670">
        <w:rPr>
          <w:color w:val="000000"/>
          <w:sz w:val="20"/>
          <w:szCs w:val="20"/>
        </w:rPr>
        <w:t>after</w:t>
      </w:r>
      <w:r w:rsidRPr="00076670">
        <w:rPr>
          <w:color w:val="000000"/>
          <w:spacing w:val="-1"/>
          <w:sz w:val="20"/>
          <w:szCs w:val="20"/>
        </w:rPr>
        <w:t xml:space="preserve"> </w:t>
      </w:r>
      <w:r w:rsidRPr="00076670">
        <w:rPr>
          <w:color w:val="000000"/>
          <w:sz w:val="20"/>
          <w:szCs w:val="20"/>
        </w:rPr>
        <w:t>storing</w:t>
      </w:r>
      <w:r w:rsidRPr="00076670">
        <w:rPr>
          <w:color w:val="000000"/>
          <w:spacing w:val="-2"/>
          <w:sz w:val="20"/>
          <w:szCs w:val="20"/>
        </w:rPr>
        <w:t xml:space="preserve"> </w:t>
      </w:r>
      <w:r w:rsidRPr="00076670">
        <w:rPr>
          <w:color w:val="000000"/>
          <w:sz w:val="20"/>
          <w:szCs w:val="20"/>
        </w:rPr>
        <w:t>at</w:t>
      </w:r>
      <w:r w:rsidRPr="00076670">
        <w:rPr>
          <w:color w:val="000000"/>
          <w:spacing w:val="3"/>
          <w:sz w:val="20"/>
          <w:szCs w:val="20"/>
        </w:rPr>
        <w:t xml:space="preserve"> </w:t>
      </w:r>
      <w:r w:rsidRPr="00076670">
        <w:rPr>
          <w:color w:val="000000"/>
          <w:sz w:val="20"/>
          <w:szCs w:val="20"/>
        </w:rPr>
        <w:t>room</w:t>
      </w:r>
      <w:r w:rsidRPr="00076670">
        <w:rPr>
          <w:color w:val="000000"/>
          <w:spacing w:val="-11"/>
          <w:sz w:val="20"/>
          <w:szCs w:val="20"/>
        </w:rPr>
        <w:t xml:space="preserve"> </w:t>
      </w:r>
      <w:r w:rsidRPr="00076670">
        <w:rPr>
          <w:color w:val="000000"/>
          <w:sz w:val="20"/>
          <w:szCs w:val="20"/>
        </w:rPr>
        <w:t>temp.</w:t>
      </w:r>
      <w:r w:rsidRPr="00076670">
        <w:rPr>
          <w:color w:val="000000"/>
          <w:spacing w:val="5"/>
          <w:sz w:val="20"/>
          <w:szCs w:val="20"/>
        </w:rPr>
        <w:t xml:space="preserve"> </w:t>
      </w:r>
      <w:r w:rsidRPr="00076670">
        <w:rPr>
          <w:color w:val="000000"/>
          <w:sz w:val="20"/>
          <w:szCs w:val="20"/>
        </w:rPr>
        <w:t>for</w:t>
      </w:r>
      <w:r w:rsidRPr="00076670">
        <w:rPr>
          <w:color w:val="000000"/>
          <w:spacing w:val="-1"/>
          <w:sz w:val="20"/>
          <w:szCs w:val="20"/>
        </w:rPr>
        <w:t xml:space="preserve"> </w:t>
      </w:r>
      <w:r w:rsidRPr="00076670">
        <w:rPr>
          <w:color w:val="000000"/>
          <w:sz w:val="20"/>
          <w:szCs w:val="20"/>
        </w:rPr>
        <w:t>24</w:t>
      </w:r>
      <w:r w:rsidRPr="00076670">
        <w:rPr>
          <w:color w:val="000000"/>
          <w:spacing w:val="-6"/>
          <w:sz w:val="20"/>
          <w:szCs w:val="20"/>
        </w:rPr>
        <w:t xml:space="preserve"> </w:t>
      </w:r>
      <w:r w:rsidRPr="00076670">
        <w:rPr>
          <w:color w:val="000000"/>
          <w:spacing w:val="-5"/>
          <w:sz w:val="20"/>
          <w:szCs w:val="20"/>
        </w:rPr>
        <w:t>hrs.</w:t>
      </w:r>
    </w:p>
    <w:p w14:paraId="7B1D267A" w14:textId="77777777" w:rsidR="00076670" w:rsidRDefault="00076670" w:rsidP="00076670">
      <w:pPr>
        <w:pStyle w:val="Heading5"/>
        <w:keepNext w:val="0"/>
        <w:keepLines w:val="0"/>
        <w:widowControl w:val="0"/>
        <w:tabs>
          <w:tab w:val="left" w:pos="1199"/>
        </w:tabs>
        <w:autoSpaceDE w:val="0"/>
        <w:autoSpaceDN w:val="0"/>
        <w:spacing w:before="0"/>
        <w:ind w:right="-29"/>
        <w:jc w:val="both"/>
        <w:rPr>
          <w:rFonts w:ascii="Times New Roman" w:hAnsi="Times New Roman" w:cs="Times New Roman"/>
          <w:b/>
          <w:color w:val="000000"/>
          <w:sz w:val="20"/>
          <w:szCs w:val="20"/>
        </w:rPr>
        <w:sectPr w:rsidR="00076670" w:rsidSect="00076670">
          <w:type w:val="continuous"/>
          <w:pgSz w:w="11906" w:h="16838" w:code="9"/>
          <w:pgMar w:top="1440" w:right="1077" w:bottom="1440" w:left="1077" w:header="658" w:footer="974" w:gutter="0"/>
          <w:cols w:space="720"/>
        </w:sectPr>
      </w:pPr>
    </w:p>
    <w:p w14:paraId="2707C7AD" w14:textId="1C332543" w:rsidR="00D460AE" w:rsidRPr="00076670" w:rsidRDefault="00000000" w:rsidP="00076670">
      <w:pPr>
        <w:pStyle w:val="Heading5"/>
        <w:keepNext w:val="0"/>
        <w:keepLines w:val="0"/>
        <w:widowControl w:val="0"/>
        <w:tabs>
          <w:tab w:val="left" w:pos="1199"/>
        </w:tabs>
        <w:autoSpaceDE w:val="0"/>
        <w:autoSpaceDN w:val="0"/>
        <w:spacing w:before="0"/>
        <w:ind w:right="-29"/>
        <w:jc w:val="both"/>
        <w:rPr>
          <w:rFonts w:ascii="Times New Roman" w:hAnsi="Times New Roman" w:cs="Times New Roman"/>
          <w:b/>
          <w:color w:val="000000"/>
          <w:spacing w:val="-2"/>
          <w:sz w:val="20"/>
          <w:szCs w:val="20"/>
        </w:rPr>
      </w:pPr>
      <w:r w:rsidRPr="00076670">
        <w:rPr>
          <w:rFonts w:ascii="Times New Roman" w:hAnsi="Times New Roman" w:cs="Times New Roman"/>
          <w:b/>
          <w:color w:val="000000"/>
          <w:sz w:val="20"/>
          <w:szCs w:val="20"/>
        </w:rPr>
        <w:lastRenderedPageBreak/>
        <w:t>In</w:t>
      </w:r>
      <w:r w:rsidRPr="00076670">
        <w:rPr>
          <w:rFonts w:ascii="Times New Roman" w:hAnsi="Times New Roman" w:cs="Times New Roman"/>
          <w:b/>
          <w:color w:val="000000"/>
          <w:spacing w:val="-4"/>
          <w:sz w:val="20"/>
          <w:szCs w:val="20"/>
        </w:rPr>
        <w:t xml:space="preserve"> </w:t>
      </w:r>
      <w:r w:rsidRPr="00076670">
        <w:rPr>
          <w:rFonts w:ascii="Times New Roman" w:hAnsi="Times New Roman" w:cs="Times New Roman"/>
          <w:b/>
          <w:color w:val="000000"/>
          <w:sz w:val="20"/>
          <w:szCs w:val="20"/>
        </w:rPr>
        <w:t>vitro</w:t>
      </w:r>
      <w:r w:rsidRPr="00076670">
        <w:rPr>
          <w:rFonts w:ascii="Times New Roman" w:hAnsi="Times New Roman" w:cs="Times New Roman"/>
          <w:b/>
          <w:color w:val="000000"/>
          <w:spacing w:val="-4"/>
          <w:sz w:val="20"/>
          <w:szCs w:val="20"/>
        </w:rPr>
        <w:t xml:space="preserve"> </w:t>
      </w:r>
      <w:r w:rsidRPr="00076670">
        <w:rPr>
          <w:rFonts w:ascii="Times New Roman" w:hAnsi="Times New Roman" w:cs="Times New Roman"/>
          <w:b/>
          <w:color w:val="000000"/>
          <w:sz w:val="20"/>
          <w:szCs w:val="20"/>
        </w:rPr>
        <w:t>dissolution</w:t>
      </w:r>
      <w:r w:rsidRPr="00076670">
        <w:rPr>
          <w:rFonts w:ascii="Times New Roman" w:hAnsi="Times New Roman" w:cs="Times New Roman"/>
          <w:b/>
          <w:color w:val="000000"/>
          <w:spacing w:val="-2"/>
          <w:sz w:val="20"/>
          <w:szCs w:val="20"/>
        </w:rPr>
        <w:t xml:space="preserve"> Studies.</w:t>
      </w:r>
    </w:p>
    <w:p w14:paraId="7083FCDB" w14:textId="77777777" w:rsidR="00D460AE" w:rsidRPr="00076670" w:rsidRDefault="00D460AE" w:rsidP="00076670">
      <w:pPr>
        <w:pStyle w:val="Heading5"/>
        <w:keepNext w:val="0"/>
        <w:keepLines w:val="0"/>
        <w:widowControl w:val="0"/>
        <w:tabs>
          <w:tab w:val="left" w:pos="1199"/>
        </w:tabs>
        <w:autoSpaceDE w:val="0"/>
        <w:autoSpaceDN w:val="0"/>
        <w:spacing w:before="0"/>
        <w:ind w:right="-29"/>
        <w:jc w:val="both"/>
        <w:rPr>
          <w:rFonts w:ascii="Times New Roman" w:hAnsi="Times New Roman" w:cs="Times New Roman"/>
          <w:b/>
          <w:color w:val="000000"/>
          <w:spacing w:val="-2"/>
          <w:sz w:val="20"/>
          <w:szCs w:val="20"/>
        </w:rPr>
      </w:pPr>
    </w:p>
    <w:p w14:paraId="4ACA5C08" w14:textId="0439CCA2" w:rsidR="00076670" w:rsidRDefault="00076670" w:rsidP="00076670">
      <w:pPr>
        <w:pStyle w:val="BodyText"/>
        <w:spacing w:line="276" w:lineRule="auto"/>
        <w:ind w:right="-29"/>
        <w:jc w:val="both"/>
        <w:rPr>
          <w:color w:val="000000"/>
          <w:sz w:val="20"/>
          <w:szCs w:val="20"/>
        </w:rPr>
      </w:pPr>
      <w:r>
        <w:rPr>
          <w:noProof/>
          <w:color w:val="000000"/>
          <w:sz w:val="20"/>
          <w:szCs w:val="20"/>
        </w:rPr>
        <w:drawing>
          <wp:inline distT="0" distB="0" distL="0" distR="0" wp14:anchorId="0B09E3CD" wp14:editId="0740EC5C">
            <wp:extent cx="2547234" cy="1630837"/>
            <wp:effectExtent l="0" t="0" r="5715" b="7620"/>
            <wp:docPr id="465246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61774" cy="1640146"/>
                    </a:xfrm>
                    <a:prstGeom prst="rect">
                      <a:avLst/>
                    </a:prstGeom>
                    <a:noFill/>
                  </pic:spPr>
                </pic:pic>
              </a:graphicData>
            </a:graphic>
          </wp:inline>
        </w:drawing>
      </w:r>
    </w:p>
    <w:p w14:paraId="12884291" w14:textId="5493F27C"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t>Fig 9:</w:t>
      </w:r>
      <w:r w:rsidRPr="00076670">
        <w:rPr>
          <w:color w:val="000000"/>
          <w:spacing w:val="-6"/>
          <w:sz w:val="20"/>
          <w:szCs w:val="20"/>
        </w:rPr>
        <w:t xml:space="preserve"> </w:t>
      </w:r>
      <w:r w:rsidRPr="00076670">
        <w:rPr>
          <w:color w:val="000000"/>
          <w:sz w:val="20"/>
          <w:szCs w:val="20"/>
        </w:rPr>
        <w:t>Dissolution</w:t>
      </w:r>
      <w:r w:rsidRPr="00076670">
        <w:rPr>
          <w:color w:val="000000"/>
          <w:spacing w:val="-10"/>
          <w:sz w:val="20"/>
          <w:szCs w:val="20"/>
        </w:rPr>
        <w:t xml:space="preserve"> </w:t>
      </w:r>
      <w:r w:rsidRPr="00076670">
        <w:rPr>
          <w:color w:val="000000"/>
          <w:spacing w:val="-2"/>
          <w:sz w:val="20"/>
          <w:szCs w:val="20"/>
        </w:rPr>
        <w:t>Apparatus.</w:t>
      </w:r>
    </w:p>
    <w:p w14:paraId="15464E47" w14:textId="77777777" w:rsidR="00076670" w:rsidRDefault="00076670" w:rsidP="00076670">
      <w:pPr>
        <w:pStyle w:val="Heading5"/>
        <w:spacing w:before="0"/>
        <w:ind w:right="-29"/>
        <w:jc w:val="both"/>
        <w:rPr>
          <w:rFonts w:ascii="Times New Roman" w:hAnsi="Times New Roman" w:cs="Times New Roman"/>
          <w:color w:val="000000"/>
          <w:sz w:val="20"/>
          <w:szCs w:val="20"/>
        </w:rPr>
      </w:pPr>
    </w:p>
    <w:p w14:paraId="75C3FBAA" w14:textId="285A00A5" w:rsidR="00D460AE" w:rsidRPr="00076670" w:rsidRDefault="00000000" w:rsidP="00076670">
      <w:pPr>
        <w:pStyle w:val="Heading5"/>
        <w:spacing w:before="0"/>
        <w:ind w:right="-29"/>
        <w:jc w:val="both"/>
        <w:rPr>
          <w:rFonts w:ascii="Times New Roman" w:hAnsi="Times New Roman" w:cs="Times New Roman"/>
          <w:b/>
          <w:color w:val="000000"/>
          <w:sz w:val="20"/>
          <w:szCs w:val="20"/>
        </w:rPr>
      </w:pPr>
      <w:r w:rsidRPr="00076670">
        <w:rPr>
          <w:rFonts w:ascii="Times New Roman" w:hAnsi="Times New Roman" w:cs="Times New Roman"/>
          <w:b/>
          <w:color w:val="000000"/>
          <w:sz w:val="20"/>
          <w:szCs w:val="20"/>
        </w:rPr>
        <w:t>Table 5:</w:t>
      </w:r>
      <w:r w:rsidRPr="00076670">
        <w:rPr>
          <w:rFonts w:ascii="Times New Roman" w:hAnsi="Times New Roman" w:cs="Times New Roman"/>
          <w:b/>
          <w:color w:val="000000"/>
          <w:spacing w:val="-2"/>
          <w:sz w:val="20"/>
          <w:szCs w:val="20"/>
        </w:rPr>
        <w:t xml:space="preserve"> </w:t>
      </w:r>
      <w:r w:rsidRPr="00076670">
        <w:rPr>
          <w:rFonts w:ascii="Times New Roman" w:hAnsi="Times New Roman" w:cs="Times New Roman"/>
          <w:b/>
          <w:color w:val="000000"/>
          <w:sz w:val="20"/>
          <w:szCs w:val="20"/>
        </w:rPr>
        <w:t>In</w:t>
      </w:r>
      <w:r w:rsidRPr="00076670">
        <w:rPr>
          <w:rFonts w:ascii="Times New Roman" w:hAnsi="Times New Roman" w:cs="Times New Roman"/>
          <w:b/>
          <w:color w:val="000000"/>
          <w:spacing w:val="-4"/>
          <w:sz w:val="20"/>
          <w:szCs w:val="20"/>
        </w:rPr>
        <w:t xml:space="preserve"> </w:t>
      </w:r>
      <w:r w:rsidRPr="00076670">
        <w:rPr>
          <w:rFonts w:ascii="Times New Roman" w:hAnsi="Times New Roman" w:cs="Times New Roman"/>
          <w:b/>
          <w:color w:val="000000"/>
          <w:sz w:val="20"/>
          <w:szCs w:val="20"/>
        </w:rPr>
        <w:t>vitro</w:t>
      </w:r>
      <w:r w:rsidRPr="00076670">
        <w:rPr>
          <w:rFonts w:ascii="Times New Roman" w:hAnsi="Times New Roman" w:cs="Times New Roman"/>
          <w:b/>
          <w:color w:val="000000"/>
          <w:spacing w:val="-3"/>
          <w:sz w:val="20"/>
          <w:szCs w:val="20"/>
        </w:rPr>
        <w:t xml:space="preserve"> </w:t>
      </w:r>
      <w:r w:rsidRPr="00076670">
        <w:rPr>
          <w:rFonts w:ascii="Times New Roman" w:hAnsi="Times New Roman" w:cs="Times New Roman"/>
          <w:b/>
          <w:color w:val="000000"/>
          <w:sz w:val="20"/>
          <w:szCs w:val="20"/>
        </w:rPr>
        <w:t>drug</w:t>
      </w:r>
      <w:r w:rsidRPr="00076670">
        <w:rPr>
          <w:rFonts w:ascii="Times New Roman" w:hAnsi="Times New Roman" w:cs="Times New Roman"/>
          <w:b/>
          <w:color w:val="000000"/>
          <w:spacing w:val="-3"/>
          <w:sz w:val="20"/>
          <w:szCs w:val="20"/>
        </w:rPr>
        <w:t xml:space="preserve"> </w:t>
      </w:r>
      <w:r w:rsidRPr="00076670">
        <w:rPr>
          <w:rFonts w:ascii="Times New Roman" w:hAnsi="Times New Roman" w:cs="Times New Roman"/>
          <w:b/>
          <w:color w:val="000000"/>
          <w:spacing w:val="-2"/>
          <w:sz w:val="20"/>
          <w:szCs w:val="20"/>
        </w:rPr>
        <w:t>release.</w:t>
      </w:r>
    </w:p>
    <w:tbl>
      <w:tblPr>
        <w:tblW w:w="43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2"/>
        <w:gridCol w:w="1018"/>
        <w:gridCol w:w="824"/>
        <w:gridCol w:w="824"/>
        <w:gridCol w:w="924"/>
      </w:tblGrid>
      <w:tr w:rsidR="00D460AE" w:rsidRPr="00076670" w14:paraId="3F01F771" w14:textId="77777777" w:rsidTr="00076670">
        <w:trPr>
          <w:trHeight w:val="300"/>
          <w:jc w:val="center"/>
        </w:trPr>
        <w:tc>
          <w:tcPr>
            <w:tcW w:w="712" w:type="dxa"/>
          </w:tcPr>
          <w:p w14:paraId="7A9AAECD" w14:textId="77777777" w:rsidR="00D460AE" w:rsidRPr="00076670" w:rsidRDefault="00000000" w:rsidP="00076670">
            <w:pPr>
              <w:pStyle w:val="TableParagraph"/>
              <w:spacing w:line="276" w:lineRule="auto"/>
              <w:ind w:right="-29"/>
              <w:jc w:val="both"/>
              <w:rPr>
                <w:b/>
                <w:color w:val="000000"/>
                <w:sz w:val="20"/>
                <w:szCs w:val="20"/>
              </w:rPr>
            </w:pPr>
            <w:r w:rsidRPr="00076670">
              <w:rPr>
                <w:b/>
                <w:color w:val="000000"/>
                <w:spacing w:val="-4"/>
                <w:sz w:val="20"/>
                <w:szCs w:val="20"/>
              </w:rPr>
              <w:t xml:space="preserve">      Time</w:t>
            </w:r>
          </w:p>
        </w:tc>
        <w:tc>
          <w:tcPr>
            <w:tcW w:w="3590" w:type="dxa"/>
            <w:gridSpan w:val="4"/>
          </w:tcPr>
          <w:p w14:paraId="1B30ED07" w14:textId="77777777" w:rsidR="00D460AE" w:rsidRPr="00076670" w:rsidRDefault="00000000" w:rsidP="00076670">
            <w:pPr>
              <w:pStyle w:val="TableParagraph"/>
              <w:spacing w:line="276" w:lineRule="auto"/>
              <w:ind w:right="-29"/>
              <w:jc w:val="center"/>
              <w:rPr>
                <w:b/>
                <w:color w:val="000000"/>
                <w:sz w:val="20"/>
                <w:szCs w:val="20"/>
              </w:rPr>
            </w:pPr>
            <w:r w:rsidRPr="00076670">
              <w:rPr>
                <w:b/>
                <w:color w:val="000000"/>
                <w:sz w:val="20"/>
                <w:szCs w:val="20"/>
              </w:rPr>
              <w:t>% Drug</w:t>
            </w:r>
            <w:r w:rsidRPr="00076670">
              <w:rPr>
                <w:b/>
                <w:color w:val="000000"/>
                <w:spacing w:val="-2"/>
                <w:sz w:val="20"/>
                <w:szCs w:val="20"/>
              </w:rPr>
              <w:t xml:space="preserve"> Release</w:t>
            </w:r>
          </w:p>
        </w:tc>
      </w:tr>
      <w:tr w:rsidR="00D460AE" w:rsidRPr="00076670" w14:paraId="41D70872" w14:textId="77777777" w:rsidTr="00076670">
        <w:trPr>
          <w:trHeight w:val="292"/>
          <w:jc w:val="center"/>
        </w:trPr>
        <w:tc>
          <w:tcPr>
            <w:tcW w:w="712" w:type="dxa"/>
          </w:tcPr>
          <w:p w14:paraId="497E71F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0</w:t>
            </w:r>
          </w:p>
        </w:tc>
        <w:tc>
          <w:tcPr>
            <w:tcW w:w="1018" w:type="dxa"/>
          </w:tcPr>
          <w:p w14:paraId="12E79269"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0</w:t>
            </w:r>
          </w:p>
        </w:tc>
        <w:tc>
          <w:tcPr>
            <w:tcW w:w="824" w:type="dxa"/>
          </w:tcPr>
          <w:p w14:paraId="58E89305"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0</w:t>
            </w:r>
          </w:p>
        </w:tc>
        <w:tc>
          <w:tcPr>
            <w:tcW w:w="824" w:type="dxa"/>
          </w:tcPr>
          <w:p w14:paraId="6D5D0E97"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0</w:t>
            </w:r>
          </w:p>
        </w:tc>
        <w:tc>
          <w:tcPr>
            <w:tcW w:w="921" w:type="dxa"/>
          </w:tcPr>
          <w:p w14:paraId="2605A6A6"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0</w:t>
            </w:r>
          </w:p>
        </w:tc>
      </w:tr>
      <w:tr w:rsidR="00D460AE" w:rsidRPr="00076670" w14:paraId="774934AD" w14:textId="77777777" w:rsidTr="00076670">
        <w:trPr>
          <w:trHeight w:val="296"/>
          <w:jc w:val="center"/>
        </w:trPr>
        <w:tc>
          <w:tcPr>
            <w:tcW w:w="712" w:type="dxa"/>
          </w:tcPr>
          <w:p w14:paraId="716BC498"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10"/>
                <w:sz w:val="20"/>
                <w:szCs w:val="20"/>
              </w:rPr>
              <w:t>5</w:t>
            </w:r>
          </w:p>
        </w:tc>
        <w:tc>
          <w:tcPr>
            <w:tcW w:w="1018" w:type="dxa"/>
          </w:tcPr>
          <w:p w14:paraId="4E61EA7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22</w:t>
            </w:r>
          </w:p>
        </w:tc>
        <w:tc>
          <w:tcPr>
            <w:tcW w:w="824" w:type="dxa"/>
          </w:tcPr>
          <w:p w14:paraId="1D6D8D36"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14</w:t>
            </w:r>
          </w:p>
        </w:tc>
        <w:tc>
          <w:tcPr>
            <w:tcW w:w="824" w:type="dxa"/>
          </w:tcPr>
          <w:p w14:paraId="0ECF1541"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12</w:t>
            </w:r>
          </w:p>
        </w:tc>
        <w:tc>
          <w:tcPr>
            <w:tcW w:w="921" w:type="dxa"/>
          </w:tcPr>
          <w:p w14:paraId="396F20C7"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10</w:t>
            </w:r>
          </w:p>
        </w:tc>
      </w:tr>
      <w:tr w:rsidR="00D460AE" w:rsidRPr="00076670" w14:paraId="0FC2FE98" w14:textId="77777777" w:rsidTr="00076670">
        <w:trPr>
          <w:trHeight w:val="300"/>
          <w:jc w:val="center"/>
        </w:trPr>
        <w:tc>
          <w:tcPr>
            <w:tcW w:w="712" w:type="dxa"/>
          </w:tcPr>
          <w:p w14:paraId="4E76CE80"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10</w:t>
            </w:r>
          </w:p>
        </w:tc>
        <w:tc>
          <w:tcPr>
            <w:tcW w:w="1018" w:type="dxa"/>
          </w:tcPr>
          <w:p w14:paraId="3EDCF5DE"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34</w:t>
            </w:r>
          </w:p>
        </w:tc>
        <w:tc>
          <w:tcPr>
            <w:tcW w:w="824" w:type="dxa"/>
          </w:tcPr>
          <w:p w14:paraId="3DD118AB"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22</w:t>
            </w:r>
          </w:p>
        </w:tc>
        <w:tc>
          <w:tcPr>
            <w:tcW w:w="824" w:type="dxa"/>
          </w:tcPr>
          <w:p w14:paraId="19AC3BD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21</w:t>
            </w:r>
          </w:p>
        </w:tc>
        <w:tc>
          <w:tcPr>
            <w:tcW w:w="921" w:type="dxa"/>
          </w:tcPr>
          <w:p w14:paraId="7F80EAF7"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19</w:t>
            </w:r>
          </w:p>
        </w:tc>
      </w:tr>
      <w:tr w:rsidR="00D460AE" w:rsidRPr="00076670" w14:paraId="5E50805B" w14:textId="77777777" w:rsidTr="00076670">
        <w:trPr>
          <w:trHeight w:val="300"/>
          <w:jc w:val="center"/>
        </w:trPr>
        <w:tc>
          <w:tcPr>
            <w:tcW w:w="712" w:type="dxa"/>
          </w:tcPr>
          <w:p w14:paraId="46ADC03F"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15</w:t>
            </w:r>
          </w:p>
        </w:tc>
        <w:tc>
          <w:tcPr>
            <w:tcW w:w="1018" w:type="dxa"/>
          </w:tcPr>
          <w:p w14:paraId="12B4FF1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53</w:t>
            </w:r>
          </w:p>
        </w:tc>
        <w:tc>
          <w:tcPr>
            <w:tcW w:w="824" w:type="dxa"/>
          </w:tcPr>
          <w:p w14:paraId="44ABC74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34</w:t>
            </w:r>
          </w:p>
        </w:tc>
        <w:tc>
          <w:tcPr>
            <w:tcW w:w="824" w:type="dxa"/>
          </w:tcPr>
          <w:p w14:paraId="0D092DD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44</w:t>
            </w:r>
          </w:p>
        </w:tc>
        <w:tc>
          <w:tcPr>
            <w:tcW w:w="921" w:type="dxa"/>
          </w:tcPr>
          <w:p w14:paraId="343131CE"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46</w:t>
            </w:r>
          </w:p>
        </w:tc>
      </w:tr>
      <w:tr w:rsidR="00D460AE" w:rsidRPr="00076670" w14:paraId="7A6C5B3F" w14:textId="77777777" w:rsidTr="00076670">
        <w:trPr>
          <w:trHeight w:val="300"/>
          <w:jc w:val="center"/>
        </w:trPr>
        <w:tc>
          <w:tcPr>
            <w:tcW w:w="712" w:type="dxa"/>
          </w:tcPr>
          <w:p w14:paraId="5158F8B3"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20</w:t>
            </w:r>
          </w:p>
        </w:tc>
        <w:tc>
          <w:tcPr>
            <w:tcW w:w="1018" w:type="dxa"/>
          </w:tcPr>
          <w:p w14:paraId="5D49DC78"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69</w:t>
            </w:r>
          </w:p>
        </w:tc>
        <w:tc>
          <w:tcPr>
            <w:tcW w:w="824" w:type="dxa"/>
          </w:tcPr>
          <w:p w14:paraId="759BC194"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52</w:t>
            </w:r>
          </w:p>
        </w:tc>
        <w:tc>
          <w:tcPr>
            <w:tcW w:w="824" w:type="dxa"/>
          </w:tcPr>
          <w:p w14:paraId="735E50BC"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58</w:t>
            </w:r>
          </w:p>
        </w:tc>
        <w:tc>
          <w:tcPr>
            <w:tcW w:w="921" w:type="dxa"/>
          </w:tcPr>
          <w:p w14:paraId="044C33D0"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68</w:t>
            </w:r>
          </w:p>
        </w:tc>
      </w:tr>
      <w:tr w:rsidR="00D460AE" w:rsidRPr="00076670" w14:paraId="0018B7B9" w14:textId="77777777" w:rsidTr="00076670">
        <w:trPr>
          <w:trHeight w:val="300"/>
          <w:jc w:val="center"/>
        </w:trPr>
        <w:tc>
          <w:tcPr>
            <w:tcW w:w="712" w:type="dxa"/>
          </w:tcPr>
          <w:p w14:paraId="29F571EE"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25</w:t>
            </w:r>
          </w:p>
        </w:tc>
        <w:tc>
          <w:tcPr>
            <w:tcW w:w="1018" w:type="dxa"/>
          </w:tcPr>
          <w:p w14:paraId="48207C9F"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92</w:t>
            </w:r>
          </w:p>
        </w:tc>
        <w:tc>
          <w:tcPr>
            <w:tcW w:w="824" w:type="dxa"/>
          </w:tcPr>
          <w:p w14:paraId="2159AC57"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86</w:t>
            </w:r>
          </w:p>
        </w:tc>
        <w:tc>
          <w:tcPr>
            <w:tcW w:w="824" w:type="dxa"/>
          </w:tcPr>
          <w:p w14:paraId="08355183"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71</w:t>
            </w:r>
          </w:p>
        </w:tc>
        <w:tc>
          <w:tcPr>
            <w:tcW w:w="921" w:type="dxa"/>
          </w:tcPr>
          <w:p w14:paraId="0084C225"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91</w:t>
            </w:r>
          </w:p>
        </w:tc>
      </w:tr>
      <w:tr w:rsidR="00D460AE" w:rsidRPr="00076670" w14:paraId="0C32E779" w14:textId="77777777" w:rsidTr="00076670">
        <w:trPr>
          <w:trHeight w:val="300"/>
          <w:jc w:val="center"/>
        </w:trPr>
        <w:tc>
          <w:tcPr>
            <w:tcW w:w="712" w:type="dxa"/>
          </w:tcPr>
          <w:p w14:paraId="4F4CE31D"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30</w:t>
            </w:r>
          </w:p>
        </w:tc>
        <w:tc>
          <w:tcPr>
            <w:tcW w:w="1018" w:type="dxa"/>
          </w:tcPr>
          <w:p w14:paraId="53B1A9A2"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100</w:t>
            </w:r>
          </w:p>
        </w:tc>
        <w:tc>
          <w:tcPr>
            <w:tcW w:w="824" w:type="dxa"/>
          </w:tcPr>
          <w:p w14:paraId="61C5943A"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100</w:t>
            </w:r>
          </w:p>
        </w:tc>
        <w:tc>
          <w:tcPr>
            <w:tcW w:w="824" w:type="dxa"/>
          </w:tcPr>
          <w:p w14:paraId="73D44FE1"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100</w:t>
            </w:r>
          </w:p>
        </w:tc>
        <w:tc>
          <w:tcPr>
            <w:tcW w:w="921" w:type="dxa"/>
          </w:tcPr>
          <w:p w14:paraId="330970A3" w14:textId="77777777" w:rsidR="00D460AE" w:rsidRPr="00076670" w:rsidRDefault="00000000" w:rsidP="00076670">
            <w:pPr>
              <w:pStyle w:val="TableParagraph"/>
              <w:spacing w:line="276" w:lineRule="auto"/>
              <w:ind w:right="-29"/>
              <w:jc w:val="center"/>
              <w:rPr>
                <w:color w:val="000000"/>
                <w:sz w:val="20"/>
                <w:szCs w:val="20"/>
              </w:rPr>
            </w:pPr>
            <w:r w:rsidRPr="00076670">
              <w:rPr>
                <w:color w:val="000000"/>
                <w:spacing w:val="-5"/>
                <w:sz w:val="20"/>
                <w:szCs w:val="20"/>
              </w:rPr>
              <w:t>100</w:t>
            </w:r>
          </w:p>
        </w:tc>
      </w:tr>
    </w:tbl>
    <w:p w14:paraId="17E6C0A9" w14:textId="76AA5AED" w:rsidR="00D460AE" w:rsidRPr="00076670" w:rsidRDefault="00D460AE" w:rsidP="00076670">
      <w:pPr>
        <w:pStyle w:val="BodyText"/>
        <w:spacing w:line="276" w:lineRule="auto"/>
        <w:ind w:right="-29"/>
        <w:jc w:val="center"/>
        <w:rPr>
          <w:noProof/>
          <w:color w:val="000000"/>
          <w:sz w:val="20"/>
          <w:szCs w:val="20"/>
        </w:rPr>
      </w:pPr>
    </w:p>
    <w:p w14:paraId="23C94A02" w14:textId="5EB99FC4" w:rsidR="00076670" w:rsidRDefault="00076670" w:rsidP="00076670">
      <w:pPr>
        <w:pStyle w:val="BodyText"/>
        <w:spacing w:line="276" w:lineRule="auto"/>
        <w:ind w:right="-29"/>
        <w:jc w:val="both"/>
        <w:rPr>
          <w:color w:val="000000"/>
          <w:sz w:val="20"/>
          <w:szCs w:val="20"/>
        </w:rPr>
      </w:pPr>
      <w:r>
        <w:rPr>
          <w:noProof/>
          <w:color w:val="000000"/>
          <w:sz w:val="20"/>
          <w:szCs w:val="20"/>
        </w:rPr>
        <w:drawing>
          <wp:inline distT="0" distB="0" distL="0" distR="0" wp14:anchorId="4AD62FE5" wp14:editId="54316D74">
            <wp:extent cx="2630078" cy="1370424"/>
            <wp:effectExtent l="0" t="0" r="0" b="1270"/>
            <wp:docPr id="7315454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4115" cy="1377738"/>
                    </a:xfrm>
                    <a:prstGeom prst="rect">
                      <a:avLst/>
                    </a:prstGeom>
                    <a:noFill/>
                  </pic:spPr>
                </pic:pic>
              </a:graphicData>
            </a:graphic>
          </wp:inline>
        </w:drawing>
      </w:r>
    </w:p>
    <w:p w14:paraId="0A79D39D" w14:textId="42DC983E" w:rsidR="00D460AE" w:rsidRPr="00076670" w:rsidRDefault="00000000" w:rsidP="00076670">
      <w:pPr>
        <w:pStyle w:val="BodyText"/>
        <w:spacing w:line="276" w:lineRule="auto"/>
        <w:ind w:right="-29"/>
        <w:jc w:val="both"/>
        <w:rPr>
          <w:b/>
          <w:color w:val="000000"/>
          <w:spacing w:val="-2"/>
          <w:sz w:val="20"/>
          <w:szCs w:val="20"/>
        </w:rPr>
      </w:pPr>
      <w:r w:rsidRPr="00076670">
        <w:rPr>
          <w:b/>
          <w:color w:val="000000"/>
          <w:sz w:val="20"/>
          <w:szCs w:val="20"/>
        </w:rPr>
        <w:t>Fig10:</w:t>
      </w:r>
      <w:r w:rsidRPr="00076670">
        <w:rPr>
          <w:b/>
          <w:color w:val="000000"/>
          <w:spacing w:val="-2"/>
          <w:sz w:val="20"/>
          <w:szCs w:val="20"/>
        </w:rPr>
        <w:t xml:space="preserve"> </w:t>
      </w:r>
      <w:r w:rsidRPr="00076670">
        <w:rPr>
          <w:b/>
          <w:color w:val="000000"/>
          <w:sz w:val="20"/>
          <w:szCs w:val="20"/>
        </w:rPr>
        <w:t>Dissolution</w:t>
      </w:r>
      <w:r w:rsidRPr="00076670">
        <w:rPr>
          <w:b/>
          <w:color w:val="000000"/>
          <w:spacing w:val="-6"/>
          <w:sz w:val="20"/>
          <w:szCs w:val="20"/>
        </w:rPr>
        <w:t xml:space="preserve"> </w:t>
      </w:r>
      <w:r w:rsidRPr="00076670">
        <w:rPr>
          <w:b/>
          <w:color w:val="000000"/>
          <w:sz w:val="20"/>
          <w:szCs w:val="20"/>
        </w:rPr>
        <w:t>profile</w:t>
      </w:r>
      <w:r w:rsidRPr="00076670">
        <w:rPr>
          <w:b/>
          <w:color w:val="000000"/>
          <w:spacing w:val="-2"/>
          <w:sz w:val="20"/>
          <w:szCs w:val="20"/>
        </w:rPr>
        <w:t xml:space="preserve"> </w:t>
      </w:r>
      <w:r w:rsidRPr="00076670">
        <w:rPr>
          <w:b/>
          <w:color w:val="000000"/>
          <w:sz w:val="20"/>
          <w:szCs w:val="20"/>
        </w:rPr>
        <w:t>of</w:t>
      </w:r>
      <w:r w:rsidRPr="00076670">
        <w:rPr>
          <w:b/>
          <w:color w:val="000000"/>
          <w:spacing w:val="-9"/>
          <w:sz w:val="20"/>
          <w:szCs w:val="20"/>
        </w:rPr>
        <w:t xml:space="preserve"> </w:t>
      </w:r>
      <w:r w:rsidRPr="00076670">
        <w:rPr>
          <w:b/>
          <w:color w:val="000000"/>
          <w:sz w:val="20"/>
          <w:szCs w:val="20"/>
        </w:rPr>
        <w:t>F1,</w:t>
      </w:r>
      <w:r w:rsidRPr="00076670">
        <w:rPr>
          <w:b/>
          <w:color w:val="000000"/>
          <w:spacing w:val="1"/>
          <w:sz w:val="20"/>
          <w:szCs w:val="20"/>
        </w:rPr>
        <w:t xml:space="preserve"> </w:t>
      </w:r>
      <w:r w:rsidRPr="00076670">
        <w:rPr>
          <w:b/>
          <w:color w:val="000000"/>
          <w:sz w:val="20"/>
          <w:szCs w:val="20"/>
        </w:rPr>
        <w:t>F2,</w:t>
      </w:r>
      <w:r w:rsidRPr="00076670">
        <w:rPr>
          <w:b/>
          <w:color w:val="000000"/>
          <w:spacing w:val="1"/>
          <w:sz w:val="20"/>
          <w:szCs w:val="20"/>
        </w:rPr>
        <w:t xml:space="preserve"> </w:t>
      </w:r>
      <w:r w:rsidRPr="00076670">
        <w:rPr>
          <w:b/>
          <w:color w:val="000000"/>
          <w:sz w:val="20"/>
          <w:szCs w:val="20"/>
        </w:rPr>
        <w:t>F3 and F4</w:t>
      </w:r>
      <w:r w:rsidRPr="00076670">
        <w:rPr>
          <w:b/>
          <w:color w:val="000000"/>
          <w:spacing w:val="-1"/>
          <w:sz w:val="20"/>
          <w:szCs w:val="20"/>
        </w:rPr>
        <w:t xml:space="preserve"> </w:t>
      </w:r>
      <w:r w:rsidRPr="00076670">
        <w:rPr>
          <w:b/>
          <w:color w:val="000000"/>
          <w:spacing w:val="-2"/>
          <w:sz w:val="20"/>
          <w:szCs w:val="20"/>
        </w:rPr>
        <w:t>batches.</w:t>
      </w:r>
    </w:p>
    <w:p w14:paraId="7EB7D4B2" w14:textId="77777777" w:rsidR="00D460AE" w:rsidRPr="00076670" w:rsidRDefault="00D460AE" w:rsidP="00076670">
      <w:pPr>
        <w:pStyle w:val="BodyText"/>
        <w:spacing w:line="276" w:lineRule="auto"/>
        <w:ind w:right="-29"/>
        <w:jc w:val="both"/>
        <w:rPr>
          <w:color w:val="000000"/>
          <w:spacing w:val="-2"/>
          <w:sz w:val="20"/>
          <w:szCs w:val="20"/>
        </w:rPr>
      </w:pPr>
    </w:p>
    <w:p w14:paraId="6D67A660" w14:textId="77777777" w:rsidR="00D460AE" w:rsidRPr="00076670" w:rsidRDefault="00000000" w:rsidP="00076670">
      <w:pPr>
        <w:pStyle w:val="Heading5"/>
        <w:keepNext w:val="0"/>
        <w:keepLines w:val="0"/>
        <w:widowControl w:val="0"/>
        <w:tabs>
          <w:tab w:val="left" w:pos="1199"/>
        </w:tabs>
        <w:autoSpaceDE w:val="0"/>
        <w:autoSpaceDN w:val="0"/>
        <w:spacing w:before="0"/>
        <w:ind w:right="-29"/>
        <w:jc w:val="both"/>
        <w:rPr>
          <w:rFonts w:ascii="Times New Roman" w:hAnsi="Times New Roman" w:cs="Times New Roman"/>
          <w:b/>
          <w:color w:val="000000"/>
          <w:sz w:val="20"/>
          <w:szCs w:val="20"/>
        </w:rPr>
      </w:pPr>
      <w:r w:rsidRPr="00076670">
        <w:rPr>
          <w:rFonts w:ascii="Times New Roman" w:hAnsi="Times New Roman" w:cs="Times New Roman"/>
          <w:b/>
          <w:color w:val="000000"/>
          <w:sz w:val="20"/>
          <w:szCs w:val="20"/>
        </w:rPr>
        <w:t xml:space="preserve">  Stability </w:t>
      </w:r>
      <w:r w:rsidRPr="00076670">
        <w:rPr>
          <w:rFonts w:ascii="Times New Roman" w:hAnsi="Times New Roman" w:cs="Times New Roman"/>
          <w:b/>
          <w:color w:val="000000"/>
          <w:spacing w:val="-2"/>
          <w:sz w:val="20"/>
          <w:szCs w:val="20"/>
        </w:rPr>
        <w:t>Studies.</w:t>
      </w:r>
    </w:p>
    <w:p w14:paraId="3C669880" w14:textId="77777777"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t>Over the course of 60 days, the produced formulations was packed in aluminum foils, transferred to high-density polyethylene containers, tightly closed and stored at room temperature. Readings of freshly made jellies were compared with reference standard for subjective evaluation. Samples were withdrawn periodically and were visually examined for any physical changes. The samples were analyzed for physical properties, pH, Syneresis and in-vitro dissolution studies.</w:t>
      </w:r>
    </w:p>
    <w:p w14:paraId="5681F85F" w14:textId="77777777" w:rsidR="00D460AE" w:rsidRPr="00076670" w:rsidRDefault="00D460AE" w:rsidP="00076670">
      <w:pPr>
        <w:pStyle w:val="BodyText"/>
        <w:spacing w:line="276" w:lineRule="auto"/>
        <w:ind w:right="-29"/>
        <w:jc w:val="both"/>
        <w:rPr>
          <w:color w:val="000000"/>
          <w:sz w:val="20"/>
          <w:szCs w:val="20"/>
        </w:rPr>
      </w:pPr>
    </w:p>
    <w:p w14:paraId="53224B33" w14:textId="77777777" w:rsidR="00D460AE" w:rsidRPr="00076670" w:rsidRDefault="00000000" w:rsidP="00076670">
      <w:pPr>
        <w:pStyle w:val="BodyText"/>
        <w:spacing w:line="276" w:lineRule="auto"/>
        <w:ind w:right="-29"/>
        <w:jc w:val="both"/>
        <w:rPr>
          <w:b/>
          <w:color w:val="000000"/>
          <w:sz w:val="20"/>
          <w:szCs w:val="20"/>
        </w:rPr>
      </w:pPr>
      <w:r w:rsidRPr="00076670">
        <w:rPr>
          <w:b/>
          <w:color w:val="000000"/>
          <w:sz w:val="20"/>
          <w:szCs w:val="20"/>
        </w:rPr>
        <w:t>Discussion:</w:t>
      </w:r>
    </w:p>
    <w:p w14:paraId="65ABB293" w14:textId="77777777"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t>The evaluation test of the jellies encompassed an assessment of their physical characteristics, pH values, syneresis, in vitro dissolution profile, and stability over 60 days. Physical evaluation revealed variations in color and texture among the formulations, with consistent aromatic odor observed across all batches. pH measurements indicated acceptable acidity levels for taste and shelf stability. Syneresis assessment after 24 hours showed no significant changes, indicating good stability. In vitro dissolution studies demonstrated gradual drug release profiles for all formulations, albeit with differences in dissolution rates. Stability studies conducted over 60 days provided insights into the long-term robustness of the formulations. Overall, these findings underscore the quality and effectiveness of the jellies, while also suggesting areas for potential optimization.</w:t>
      </w:r>
    </w:p>
    <w:p w14:paraId="06EEA372" w14:textId="77777777" w:rsidR="00D460AE" w:rsidRPr="00076670" w:rsidRDefault="00D460AE" w:rsidP="00076670">
      <w:pPr>
        <w:pStyle w:val="BodyText"/>
        <w:spacing w:line="276" w:lineRule="auto"/>
        <w:ind w:right="-29"/>
        <w:jc w:val="both"/>
        <w:rPr>
          <w:color w:val="000000"/>
          <w:sz w:val="20"/>
          <w:szCs w:val="20"/>
        </w:rPr>
      </w:pPr>
    </w:p>
    <w:p w14:paraId="0C01116D" w14:textId="77777777" w:rsidR="00D460AE" w:rsidRPr="00076670" w:rsidRDefault="00000000" w:rsidP="00076670">
      <w:pPr>
        <w:pStyle w:val="BodyText"/>
        <w:spacing w:line="276" w:lineRule="auto"/>
        <w:ind w:right="-29"/>
        <w:jc w:val="both"/>
        <w:rPr>
          <w:b/>
          <w:color w:val="000000"/>
          <w:sz w:val="20"/>
          <w:szCs w:val="20"/>
        </w:rPr>
      </w:pPr>
      <w:r w:rsidRPr="00076670">
        <w:rPr>
          <w:b/>
          <w:color w:val="000000"/>
          <w:sz w:val="20"/>
          <w:szCs w:val="20"/>
        </w:rPr>
        <w:t>Conclusion:</w:t>
      </w:r>
    </w:p>
    <w:p w14:paraId="2006413D" w14:textId="77777777" w:rsidR="00D460AE" w:rsidRPr="00076670" w:rsidRDefault="00000000" w:rsidP="00076670">
      <w:pPr>
        <w:pStyle w:val="BodyText"/>
        <w:spacing w:line="276" w:lineRule="auto"/>
        <w:ind w:right="-29"/>
        <w:jc w:val="both"/>
        <w:rPr>
          <w:color w:val="000000"/>
          <w:sz w:val="20"/>
          <w:szCs w:val="20"/>
        </w:rPr>
      </w:pPr>
      <w:r w:rsidRPr="00076670">
        <w:rPr>
          <w:color w:val="000000"/>
          <w:sz w:val="20"/>
          <w:szCs w:val="20"/>
        </w:rPr>
        <w:t>In conclusion, the utilization of Tribulus terrestris extract in jelly formulations presents a novel approach for addressing the complex symptoms of Polycystic Ovary Syndrome (PCOS). The research findings indicate that these jellies exhibit favorable physicochemical properties, including color, odor, texture, and pH, making them suitable for consumption by individuals with PCOS. Moreover, the jellies demonstrate stability over a period of 60 days and maintain consistent drug release profiles in vitro, suggesting their potential efficacy in delivering therapeutic benefits. The comprehensive evaluation of these jellies underscores their quality and effectiveness as a promising therapeutic option for managing PCOS symptoms. Moving forward, further optimization and refinement of the formulations may enhance their potency and applicability, offering patients with PCOS a convenient and natural remedy to alleviate their symptoms. Overall, this research contributes valuable insights into herbal interventions for PCOS management and expands the range of treatment options available to patients seeking complementary and alternative solutions.</w:t>
      </w:r>
    </w:p>
    <w:p w14:paraId="049DE3CE" w14:textId="77777777" w:rsidR="00076670" w:rsidRDefault="00076670" w:rsidP="00076670">
      <w:pPr>
        <w:pStyle w:val="BodyText"/>
        <w:spacing w:line="276" w:lineRule="auto"/>
        <w:ind w:right="-29"/>
        <w:jc w:val="both"/>
        <w:rPr>
          <w:b/>
          <w:color w:val="000000"/>
          <w:sz w:val="20"/>
          <w:szCs w:val="20"/>
        </w:rPr>
      </w:pPr>
    </w:p>
    <w:p w14:paraId="4A43C986" w14:textId="48D73F22" w:rsidR="00D460AE" w:rsidRPr="00076670" w:rsidRDefault="00000000" w:rsidP="00076670">
      <w:pPr>
        <w:pStyle w:val="BodyText"/>
        <w:spacing w:line="276" w:lineRule="auto"/>
        <w:ind w:right="-29"/>
        <w:jc w:val="both"/>
        <w:rPr>
          <w:b/>
          <w:color w:val="000000"/>
          <w:sz w:val="20"/>
          <w:szCs w:val="20"/>
        </w:rPr>
      </w:pPr>
      <w:r w:rsidRPr="00076670">
        <w:rPr>
          <w:b/>
          <w:color w:val="000000"/>
          <w:sz w:val="20"/>
          <w:szCs w:val="20"/>
        </w:rPr>
        <w:t>References:</w:t>
      </w:r>
    </w:p>
    <w:p w14:paraId="25970102"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rFonts w:eastAsia="Calibri"/>
          <w:color w:val="000000"/>
          <w:sz w:val="20"/>
          <w:szCs w:val="20"/>
        </w:rPr>
        <w:fldChar w:fldCharType="begin"/>
      </w:r>
      <w:r w:rsidRPr="00076670">
        <w:rPr>
          <w:color w:val="000000"/>
          <w:sz w:val="20"/>
          <w:szCs w:val="20"/>
        </w:rPr>
        <w:instrText xml:space="preserve">ADDIN Mendeley Bibliography CSL_BIBLIOGRAPHY </w:instrText>
      </w:r>
      <w:r w:rsidRPr="00076670">
        <w:rPr>
          <w:rFonts w:eastAsia="Calibri"/>
          <w:color w:val="000000"/>
          <w:sz w:val="20"/>
          <w:szCs w:val="20"/>
        </w:rPr>
        <w:fldChar w:fldCharType="separate"/>
      </w:r>
      <w:r w:rsidRPr="00076670">
        <w:rPr>
          <w:noProof/>
          <w:sz w:val="20"/>
          <w:szCs w:val="20"/>
        </w:rPr>
        <w:t xml:space="preserve">Allen, Lowri A., Natasha Shrikrishnapalasuriyar, and Dafydd Aled Rees. 2022. “Long-Term Health Outcomes in Young Women with Polycystic Ovary </w:t>
      </w:r>
      <w:r w:rsidRPr="00076670">
        <w:rPr>
          <w:noProof/>
          <w:sz w:val="20"/>
          <w:szCs w:val="20"/>
        </w:rPr>
        <w:lastRenderedPageBreak/>
        <w:t xml:space="preserve">Syndrome: A Narrative Review.” </w:t>
      </w:r>
      <w:r w:rsidRPr="00076670">
        <w:rPr>
          <w:i/>
          <w:iCs/>
          <w:noProof/>
          <w:sz w:val="20"/>
          <w:szCs w:val="20"/>
        </w:rPr>
        <w:t>Clinical Endocrinology</w:t>
      </w:r>
      <w:r w:rsidRPr="00076670">
        <w:rPr>
          <w:noProof/>
          <w:sz w:val="20"/>
          <w:szCs w:val="20"/>
        </w:rPr>
        <w:t xml:space="preserve"> 97 (2): 187–98. https://doi.org/10.1111/cen.14609.</w:t>
      </w:r>
    </w:p>
    <w:p w14:paraId="2D0E6FB6"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Ambekar, Anand, Vinay B Shinde Pratima S, and Purushotham Rao K. 2015. “Preclinical Study of Ketoconazole Ororetentive Medicated Jelly.” </w:t>
      </w:r>
      <w:r w:rsidRPr="00076670">
        <w:rPr>
          <w:i/>
          <w:iCs/>
          <w:noProof/>
          <w:sz w:val="20"/>
          <w:szCs w:val="20"/>
        </w:rPr>
        <w:t>British Journal of Research</w:t>
      </w:r>
      <w:r w:rsidRPr="00076670">
        <w:rPr>
          <w:noProof/>
          <w:sz w:val="20"/>
          <w:szCs w:val="20"/>
        </w:rPr>
        <w:t xml:space="preserve"> 2 (4): 122–31.</w:t>
      </w:r>
    </w:p>
    <w:p w14:paraId="1DE0659F"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Baburao, B, G Rajyalakshmi, A Venkatesham, G Kiran, A Shyam Sunder, and B Ganga Rao. 2009. “Anti-Inflammatory and Antimicrobial Activities of Methanolic Extract of Tribulus Terrestris Linn Plant.” </w:t>
      </w:r>
      <w:r w:rsidRPr="00076670">
        <w:rPr>
          <w:i/>
          <w:iCs/>
          <w:noProof/>
          <w:sz w:val="20"/>
          <w:szCs w:val="20"/>
        </w:rPr>
        <w:t>Int. J. Chem. Sci</w:t>
      </w:r>
      <w:r w:rsidRPr="00076670">
        <w:rPr>
          <w:noProof/>
          <w:sz w:val="20"/>
          <w:szCs w:val="20"/>
        </w:rPr>
        <w:t xml:space="preserve"> 7 (3): 1867–72.</w:t>
      </w:r>
    </w:p>
    <w:p w14:paraId="44A749B2"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Chhatre, Saurabh, Tanuja Nesari, Gauresh Somani, Divya Kanchan, and Sadhana Sathaye. 2014. “Phytopharmacological Overview of Tribulus Terrestris.” </w:t>
      </w:r>
      <w:r w:rsidRPr="00076670">
        <w:rPr>
          <w:i/>
          <w:iCs/>
          <w:noProof/>
          <w:sz w:val="20"/>
          <w:szCs w:val="20"/>
        </w:rPr>
        <w:t>Pharmacognosy Reviews</w:t>
      </w:r>
      <w:r w:rsidRPr="00076670">
        <w:rPr>
          <w:noProof/>
          <w:sz w:val="20"/>
          <w:szCs w:val="20"/>
        </w:rPr>
        <w:t xml:space="preserve"> 8 (15): 45–51. https://doi.org/10.4103/0973-7847.125530.</w:t>
      </w:r>
    </w:p>
    <w:p w14:paraId="60C30FB3"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CP, Khare. 2007. </w:t>
      </w:r>
      <w:r w:rsidRPr="00076670">
        <w:rPr>
          <w:i/>
          <w:iCs/>
          <w:noProof/>
          <w:sz w:val="20"/>
          <w:szCs w:val="20"/>
        </w:rPr>
        <w:t>Indian Medicinal Plants: An Illustrated Dictionary.</w:t>
      </w:r>
      <w:r w:rsidRPr="00076670">
        <w:rPr>
          <w:noProof/>
          <w:sz w:val="20"/>
          <w:szCs w:val="20"/>
        </w:rPr>
        <w:t xml:space="preserve"> Berlin, Heidelberg: Springer Verlag.</w:t>
      </w:r>
    </w:p>
    <w:p w14:paraId="363E1E4B"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Doss, A. 2009. “Preliminary Phytochemical Screening of Some Indian Medicinal Plants.” </w:t>
      </w:r>
      <w:r w:rsidRPr="00076670">
        <w:rPr>
          <w:i/>
          <w:iCs/>
          <w:noProof/>
          <w:sz w:val="20"/>
          <w:szCs w:val="20"/>
        </w:rPr>
        <w:t>Ancient Science of Life</w:t>
      </w:r>
      <w:r w:rsidRPr="00076670">
        <w:rPr>
          <w:noProof/>
          <w:sz w:val="20"/>
          <w:szCs w:val="20"/>
        </w:rPr>
        <w:t xml:space="preserve"> 29 (2): 12–16. http://www.ncbi.nlm.nih.gov/pubmed/22557345%0Ahttp://www.pubmedcentral.nih.gov/articlerender.fcgi?artid=PMC3336308.</w:t>
      </w:r>
    </w:p>
    <w:p w14:paraId="081CFC0A"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Garg, Akanksha, Bijal Patel, Ali Abbara, and Waljit S. Dhillo. 2022. “Treatments Targeting Neuroendocrine Dysfunction in Polycystic Ovary Syndrome (PCOS).” </w:t>
      </w:r>
      <w:r w:rsidRPr="00076670">
        <w:rPr>
          <w:i/>
          <w:iCs/>
          <w:noProof/>
          <w:sz w:val="20"/>
          <w:szCs w:val="20"/>
        </w:rPr>
        <w:t>Clinical Endocrinology</w:t>
      </w:r>
      <w:r w:rsidRPr="00076670">
        <w:rPr>
          <w:noProof/>
          <w:sz w:val="20"/>
          <w:szCs w:val="20"/>
        </w:rPr>
        <w:t xml:space="preserve"> 97 (2): 156–64. https://doi.org/10.1111/cen.14704.</w:t>
      </w:r>
    </w:p>
    <w:p w14:paraId="5AFDC879"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Gibson-Helm, Melanie, Helena Teede, Andrea Dunaif, and Anuja Dokras. 2017. “Delayed Diagnosis and a Lack of Information Associated with Dissatisfaction in Women with Polycystic Ovary Syndrome.” </w:t>
      </w:r>
      <w:r w:rsidRPr="00076670">
        <w:rPr>
          <w:i/>
          <w:iCs/>
          <w:noProof/>
          <w:sz w:val="20"/>
          <w:szCs w:val="20"/>
        </w:rPr>
        <w:t>Journal of Clinical Endocrinology and Metabolism</w:t>
      </w:r>
      <w:r w:rsidRPr="00076670">
        <w:rPr>
          <w:noProof/>
          <w:sz w:val="20"/>
          <w:szCs w:val="20"/>
        </w:rPr>
        <w:t xml:space="preserve"> 102 (2): 604–12. https://doi.org/10.1210/jc.2016-2963.</w:t>
      </w:r>
    </w:p>
    <w:p w14:paraId="5500B6AD"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Kadam, Vaishali S, Jayshri Kendre, G R Shendarkar, and S Sangita Kadam. 2020. “Formulation and Evaluation of Medicated Oral Jelly of Trazadone Hydrochloride.” </w:t>
      </w:r>
      <w:r w:rsidRPr="00076670">
        <w:rPr>
          <w:i/>
          <w:iCs/>
          <w:noProof/>
          <w:sz w:val="20"/>
          <w:szCs w:val="20"/>
        </w:rPr>
        <w:t>International Journal of Pharmaceutical Sciences and Research</w:t>
      </w:r>
      <w:r w:rsidRPr="00076670">
        <w:rPr>
          <w:noProof/>
          <w:sz w:val="20"/>
          <w:szCs w:val="20"/>
        </w:rPr>
        <w:t xml:space="preserve"> 11 (12): 6251. https://doi.org/10.13040/IJPSR.0975-8232.11(12).6251-59.</w:t>
      </w:r>
    </w:p>
    <w:p w14:paraId="176CFA32"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Kahal, Hassan, Ioannis Kyrou, Olalekan Uthman, </w:t>
      </w:r>
      <w:r w:rsidRPr="00076670">
        <w:rPr>
          <w:noProof/>
          <w:sz w:val="20"/>
          <w:szCs w:val="20"/>
        </w:rPr>
        <w:t xml:space="preserve">Anna Brown, Samantha Johnson, Peter Wall, Andrew Metcalfe, Abd Tahrani, and Harpal Randeva. 2017. “The Prevalence of Obstructive Sleep Apnoea in Women with Polycystic Ovary Syndrome: A Systematic Review and Meta-Analysis.” </w:t>
      </w:r>
      <w:r w:rsidRPr="00076670">
        <w:rPr>
          <w:i/>
          <w:iCs/>
          <w:noProof/>
          <w:sz w:val="20"/>
          <w:szCs w:val="20"/>
        </w:rPr>
        <w:t>Endocrine Abstracts</w:t>
      </w:r>
      <w:r w:rsidRPr="00076670">
        <w:rPr>
          <w:noProof/>
          <w:sz w:val="20"/>
          <w:szCs w:val="20"/>
        </w:rPr>
        <w:t xml:space="preserve"> 8 (56): 96351–58. https://doi.org/10.1530/endoabs.50.p339.</w:t>
      </w:r>
    </w:p>
    <w:p w14:paraId="4AC7007E"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Lizneva, Daria, Larisa Suturina, Walidah Walker, Soumia Brakta, Larisa Gavrilova-Jordan, and Ricardo Azziz. 2016. “Criteria, Prevalence, and Phenotypes of Polycystic Ovary Syndrome.” </w:t>
      </w:r>
      <w:r w:rsidRPr="00076670">
        <w:rPr>
          <w:i/>
          <w:iCs/>
          <w:noProof/>
          <w:sz w:val="20"/>
          <w:szCs w:val="20"/>
        </w:rPr>
        <w:t>Fertility and Sterility</w:t>
      </w:r>
      <w:r w:rsidRPr="00076670">
        <w:rPr>
          <w:noProof/>
          <w:sz w:val="20"/>
          <w:szCs w:val="20"/>
        </w:rPr>
        <w:t xml:space="preserve"> 106 (1): 6–15. https://doi.org/10.1016/j.fertnstert.2016.05.003.</w:t>
      </w:r>
    </w:p>
    <w:p w14:paraId="4F6AC1AE"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Mittapally, Sirisha, and Ruheena Taranum. 2018. “Formulation and Evaluation of Domperidone Oral Jelly.” </w:t>
      </w:r>
      <w:r w:rsidRPr="00076670">
        <w:rPr>
          <w:i/>
          <w:iCs/>
          <w:noProof/>
          <w:sz w:val="20"/>
          <w:szCs w:val="20"/>
        </w:rPr>
        <w:t>International Journal of Pharmacy and Biological Sciences</w:t>
      </w:r>
      <w:r w:rsidRPr="00076670">
        <w:rPr>
          <w:noProof/>
          <w:sz w:val="20"/>
          <w:szCs w:val="20"/>
        </w:rPr>
        <w:t xml:space="preserve"> 8 (4): 870–78.</w:t>
      </w:r>
    </w:p>
    <w:p w14:paraId="4D951D3B"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O’Reilly, Michael W., Punith Kempegowda, Carl Jenkinson, Angela E. Taylor, Jonathan L. Quanson, Karl Heinz Storbeck, and Wiebke Arlt. 2017. “11-Oxygenated C19 Steroids Are the Predominant Androgens in Polycystic Ovary Syndrome.” </w:t>
      </w:r>
      <w:r w:rsidRPr="00076670">
        <w:rPr>
          <w:i/>
          <w:iCs/>
          <w:noProof/>
          <w:sz w:val="20"/>
          <w:szCs w:val="20"/>
        </w:rPr>
        <w:t>Journal of Clinical Endocrinology and Metabolism</w:t>
      </w:r>
      <w:r w:rsidRPr="00076670">
        <w:rPr>
          <w:noProof/>
          <w:sz w:val="20"/>
          <w:szCs w:val="20"/>
        </w:rPr>
        <w:t xml:space="preserve"> 102 (3): 840–48. https://doi.org/10.1210/jc.2016-3285.</w:t>
      </w:r>
    </w:p>
    <w:p w14:paraId="6C8F4549"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Rathod, Ms Pranita I, Prof V V Deshpande, Shadab Shaikh, Ms Shreya B Pathare, Ms Shweta M Nawghare, and Ms Shweta S. 2022. “Review on Formulation and Development of Oral Medicated Jellies.” </w:t>
      </w:r>
      <w:r w:rsidRPr="00076670">
        <w:rPr>
          <w:i/>
          <w:iCs/>
          <w:noProof/>
          <w:sz w:val="20"/>
          <w:szCs w:val="20"/>
        </w:rPr>
        <w:t>International Journal of Pharmaceutical Research and Applications</w:t>
      </w:r>
      <w:r w:rsidRPr="00076670">
        <w:rPr>
          <w:noProof/>
          <w:sz w:val="20"/>
          <w:szCs w:val="20"/>
        </w:rPr>
        <w:t xml:space="preserve"> 7 (4): 174–79. https://doi.org/10.35629/7781-0704174179.</w:t>
      </w:r>
    </w:p>
    <w:p w14:paraId="4F61EE17"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Sabri, Lubna Abdalkarim, Abeer H. Khasraghi, and Hala Talal Sulaiman. 2022. “Preparation and Evaluation of Oral Soft Chewable Jelly Containing Flurbiprofen.” </w:t>
      </w:r>
      <w:r w:rsidRPr="00076670">
        <w:rPr>
          <w:i/>
          <w:iCs/>
          <w:noProof/>
          <w:sz w:val="20"/>
          <w:szCs w:val="20"/>
        </w:rPr>
        <w:t>Journal of Advanced Pharmaceutical Technology and Research</w:t>
      </w:r>
      <w:r w:rsidRPr="00076670">
        <w:rPr>
          <w:noProof/>
          <w:sz w:val="20"/>
          <w:szCs w:val="20"/>
        </w:rPr>
        <w:t xml:space="preserve"> 13 (4): 306–11. https://doi.org/10.4103/japtr.japtr_465_22.</w:t>
      </w:r>
    </w:p>
    <w:p w14:paraId="7AF7C9D5"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Safiri, Saeid, Maryam Noori, Seyed Aria Nejadghaderi, Nahid Karamzad, Kristin Carson-Chahhoud, Mark J.M. Sullman, Gary S. Collins, Ali Asghar Kolahi, and Jodie Avery. 2022. “Prevalence, Incidence and Years Lived with Disability Due to Polycystic Ovary Syndrome in 204 Countries and Territories, 1990–2019.” </w:t>
      </w:r>
      <w:r w:rsidRPr="00076670">
        <w:rPr>
          <w:i/>
          <w:iCs/>
          <w:noProof/>
          <w:sz w:val="20"/>
          <w:szCs w:val="20"/>
        </w:rPr>
        <w:t>Human Reproduction</w:t>
      </w:r>
      <w:r w:rsidRPr="00076670">
        <w:rPr>
          <w:noProof/>
          <w:sz w:val="20"/>
          <w:szCs w:val="20"/>
        </w:rPr>
        <w:t xml:space="preserve"> 37 (8): 1919–31. https://doi.org/10.1093/humrep/deac091.</w:t>
      </w:r>
    </w:p>
    <w:p w14:paraId="0F06FCA6"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lastRenderedPageBreak/>
        <w:t xml:space="preserve">Teede, Helena J, Chau Thien Tay, Joop J E Laven, Anuja Dokras, Lisa J Moran, Terhi T Piltonen, Michael F Costello, et al. 2023. “Recommendations From the 2023 International Evidence-Based Guideline for the Assessment and Management of Polycystic Ovary Syndrome.” </w:t>
      </w:r>
      <w:r w:rsidRPr="00076670">
        <w:rPr>
          <w:i/>
          <w:iCs/>
          <w:noProof/>
          <w:sz w:val="20"/>
          <w:szCs w:val="20"/>
        </w:rPr>
        <w:t>The Journal of Clinical Endocrinology &amp; Metabolism</w:t>
      </w:r>
      <w:r w:rsidRPr="00076670">
        <w:rPr>
          <w:noProof/>
          <w:sz w:val="20"/>
          <w:szCs w:val="20"/>
        </w:rPr>
        <w:t xml:space="preserve"> 108 (10): 2447–69. https://doi.org/10.1210/clinem/dgad463.</w:t>
      </w:r>
    </w:p>
    <w:p w14:paraId="1A1720FB"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Trease GE, Evans WC. 2002. </w:t>
      </w:r>
      <w:r w:rsidRPr="00076670">
        <w:rPr>
          <w:i/>
          <w:iCs/>
          <w:noProof/>
          <w:sz w:val="20"/>
          <w:szCs w:val="20"/>
        </w:rPr>
        <w:t>Trease and Evans Pharmacognosy.</w:t>
      </w:r>
      <w:r w:rsidRPr="00076670">
        <w:rPr>
          <w:noProof/>
          <w:sz w:val="20"/>
          <w:szCs w:val="20"/>
        </w:rPr>
        <w:t xml:space="preserve"> 15th ed. Harcourt Brace and Singapore Company Asia Pvt. Ltd.</w:t>
      </w:r>
    </w:p>
    <w:p w14:paraId="04590B43" w14:textId="77777777" w:rsidR="00D460AE" w:rsidRPr="00076670" w:rsidRDefault="00000000" w:rsidP="00076670">
      <w:pPr>
        <w:pStyle w:val="ListParagraph"/>
        <w:numPr>
          <w:ilvl w:val="0"/>
          <w:numId w:val="12"/>
        </w:numPr>
        <w:adjustRightInd w:val="0"/>
        <w:spacing w:line="276" w:lineRule="auto"/>
        <w:ind w:left="426" w:right="-29" w:hanging="426"/>
        <w:jc w:val="both"/>
        <w:rPr>
          <w:noProof/>
          <w:sz w:val="20"/>
          <w:szCs w:val="20"/>
        </w:rPr>
      </w:pPr>
      <w:r w:rsidRPr="00076670">
        <w:rPr>
          <w:noProof/>
          <w:sz w:val="20"/>
          <w:szCs w:val="20"/>
        </w:rPr>
        <w:t xml:space="preserve">Wolf, Wendy M., Rachel A. Wattick, Olivia N. Kinkade, and Melissa D. Olfert. 2018. “Geographical Prevalence of Polycystic Ovary Syndrome as Determined by Region and Race/Ethnicity.” </w:t>
      </w:r>
      <w:r w:rsidRPr="00076670">
        <w:rPr>
          <w:i/>
          <w:iCs/>
          <w:noProof/>
          <w:sz w:val="20"/>
          <w:szCs w:val="20"/>
        </w:rPr>
        <w:t>International Journal of Environmental Research and Public Health</w:t>
      </w:r>
      <w:r w:rsidRPr="00076670">
        <w:rPr>
          <w:noProof/>
          <w:sz w:val="20"/>
          <w:szCs w:val="20"/>
        </w:rPr>
        <w:t xml:space="preserve"> 15 (11): 1–13. https://doi.org/10.3390/ijerph15112589.</w:t>
      </w:r>
    </w:p>
    <w:p w14:paraId="6711C727" w14:textId="77777777" w:rsidR="00D460AE" w:rsidRPr="00076670" w:rsidRDefault="00000000" w:rsidP="00076670">
      <w:pPr>
        <w:pStyle w:val="BodyText"/>
        <w:spacing w:line="276" w:lineRule="auto"/>
        <w:ind w:left="426" w:right="-29" w:hanging="426"/>
        <w:jc w:val="both"/>
        <w:rPr>
          <w:color w:val="000000"/>
          <w:sz w:val="20"/>
          <w:szCs w:val="20"/>
        </w:rPr>
      </w:pPr>
      <w:r w:rsidRPr="00076670">
        <w:rPr>
          <w:color w:val="000000"/>
          <w:sz w:val="20"/>
          <w:szCs w:val="20"/>
        </w:rPr>
        <w:fldChar w:fldCharType="end"/>
      </w:r>
    </w:p>
    <w:p w14:paraId="30121DC0" w14:textId="77777777" w:rsidR="00D460AE" w:rsidRPr="00076670" w:rsidRDefault="00D460AE" w:rsidP="00076670">
      <w:pPr>
        <w:spacing w:after="0"/>
        <w:ind w:left="426" w:right="-29" w:hanging="426"/>
        <w:jc w:val="both"/>
        <w:rPr>
          <w:rFonts w:ascii="Times New Roman" w:hAnsi="Times New Roman" w:cs="Times New Roman"/>
          <w:sz w:val="20"/>
          <w:szCs w:val="20"/>
        </w:rPr>
      </w:pPr>
    </w:p>
    <w:sectPr w:rsidR="00D460AE" w:rsidRPr="00076670" w:rsidSect="00076670">
      <w:pgSz w:w="11906" w:h="16838" w:code="9"/>
      <w:pgMar w:top="1440" w:right="1077" w:bottom="1440" w:left="1077"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FC76A" w14:textId="77777777" w:rsidR="002B7C76" w:rsidRDefault="002B7C76">
      <w:pPr>
        <w:spacing w:after="0" w:line="240" w:lineRule="auto"/>
      </w:pPr>
      <w:r>
        <w:separator/>
      </w:r>
    </w:p>
  </w:endnote>
  <w:endnote w:type="continuationSeparator" w:id="0">
    <w:p w14:paraId="7C1C57D8" w14:textId="77777777" w:rsidR="002B7C76" w:rsidRDefault="002B7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D3348" w14:textId="77777777" w:rsidR="00BC6B26" w:rsidRDefault="00BC6B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A377F" w14:textId="77777777" w:rsidR="00076670" w:rsidRDefault="00000000" w:rsidP="00B842B5">
    <w:pPr>
      <w:pStyle w:val="Footer"/>
    </w:pPr>
    <w:sdt>
      <w:sdtPr>
        <w:id w:val="-640043559"/>
        <w:docPartObj>
          <w:docPartGallery w:val="Page Numbers (Bottom of Page)"/>
          <w:docPartUnique/>
        </w:docPartObj>
      </w:sdtPr>
      <w:sdtEndPr>
        <w:rPr>
          <w:noProof/>
        </w:rPr>
      </w:sdtEndPr>
      <w:sdtContent>
        <w:r w:rsidR="00076670">
          <w:fldChar w:fldCharType="begin"/>
        </w:r>
        <w:r w:rsidR="00076670">
          <w:instrText xml:space="preserve"> PAGE   \* MERGEFORMAT </w:instrText>
        </w:r>
        <w:r w:rsidR="00076670">
          <w:fldChar w:fldCharType="separate"/>
        </w:r>
        <w:r w:rsidR="00076670">
          <w:rPr>
            <w:noProof/>
          </w:rPr>
          <w:t>2</w:t>
        </w:r>
        <w:r w:rsidR="00076670">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8890E" w14:textId="77777777" w:rsidR="00BC6B26" w:rsidRDefault="00BC6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9F63F" w14:textId="77777777" w:rsidR="002B7C76" w:rsidRDefault="002B7C76">
      <w:pPr>
        <w:spacing w:after="0" w:line="240" w:lineRule="auto"/>
      </w:pPr>
      <w:r>
        <w:separator/>
      </w:r>
    </w:p>
  </w:footnote>
  <w:footnote w:type="continuationSeparator" w:id="0">
    <w:p w14:paraId="43EA94CE" w14:textId="77777777" w:rsidR="002B7C76" w:rsidRDefault="002B7C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51E15" w14:textId="77777777" w:rsidR="00BC6B26" w:rsidRDefault="00BC6B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78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701"/>
    </w:tblGrid>
    <w:tr w:rsidR="00076670" w14:paraId="727E72F1" w14:textId="77777777" w:rsidTr="00B842B5">
      <w:tc>
        <w:tcPr>
          <w:tcW w:w="8080" w:type="dxa"/>
        </w:tcPr>
        <w:p w14:paraId="7B737253" w14:textId="20264FA7" w:rsidR="00076670" w:rsidRDefault="00076670" w:rsidP="00240D54">
          <w:pPr>
            <w:pStyle w:val="Header"/>
          </w:pPr>
          <w:r>
            <w:rPr>
              <w:noProof/>
              <w14:ligatures w14:val="standardContextual"/>
            </w:rPr>
            <mc:AlternateContent>
              <mc:Choice Requires="wps">
                <w:drawing>
                  <wp:anchor distT="0" distB="0" distL="0" distR="0" simplePos="0" relativeHeight="251659264" behindDoc="1" locked="0" layoutInCell="1" allowOverlap="1" wp14:anchorId="6FDC6873" wp14:editId="176F33E3">
                    <wp:simplePos x="0" y="0"/>
                    <wp:positionH relativeFrom="page">
                      <wp:posOffset>73660</wp:posOffset>
                    </wp:positionH>
                    <wp:positionV relativeFrom="paragraph">
                      <wp:posOffset>137160</wp:posOffset>
                    </wp:positionV>
                    <wp:extent cx="4916170" cy="793115"/>
                    <wp:effectExtent l="0" t="0" r="0" b="6985"/>
                    <wp:wrapTopAndBottom/>
                    <wp:docPr id="2031412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6170" cy="793115"/>
                            </a:xfrm>
                            <a:prstGeom prst="rect">
                              <a:avLst/>
                            </a:prstGeom>
                            <a:solidFill>
                              <a:srgbClr val="D7D7D7"/>
                            </a:solidFill>
                            <a:ln>
                              <a:noFill/>
                            </a:ln>
                          </wps:spPr>
                          <wps:txbx>
                            <w:txbxContent>
                              <w:p w14:paraId="75A0027A" w14:textId="77777777" w:rsidR="00076670" w:rsidRPr="00B842B5" w:rsidRDefault="00076670" w:rsidP="00B842B5">
                                <w:pPr>
                                  <w:spacing w:after="120"/>
                                  <w:jc w:val="center"/>
                                  <w:rPr>
                                    <w:rFonts w:ascii="Times New Roman" w:hAnsi="Times New Roman"/>
                                    <w:color w:val="000000"/>
                                    <w:sz w:val="32"/>
                                  </w:rPr>
                                </w:pPr>
                                <w:r w:rsidRPr="00B842B5">
                                  <w:rPr>
                                    <w:rFonts w:ascii="Times New Roman" w:hAnsi="Times New Roman"/>
                                    <w:color w:val="000000"/>
                                    <w:sz w:val="32"/>
                                  </w:rPr>
                                  <w:t>Journal</w:t>
                                </w:r>
                                <w:r w:rsidRPr="00B842B5">
                                  <w:rPr>
                                    <w:rFonts w:ascii="Times New Roman" w:hAnsi="Times New Roman"/>
                                    <w:color w:val="000000"/>
                                    <w:spacing w:val="-1"/>
                                    <w:sz w:val="32"/>
                                  </w:rPr>
                                  <w:t xml:space="preserve"> </w:t>
                                </w:r>
                                <w:r w:rsidRPr="00B842B5">
                                  <w:rPr>
                                    <w:rFonts w:ascii="Times New Roman" w:hAnsi="Times New Roman"/>
                                    <w:color w:val="000000"/>
                                    <w:sz w:val="32"/>
                                  </w:rPr>
                                  <w:t>of</w:t>
                                </w:r>
                                <w:r w:rsidRPr="00B842B5">
                                  <w:rPr>
                                    <w:rFonts w:ascii="Times New Roman" w:hAnsi="Times New Roman"/>
                                    <w:color w:val="000000"/>
                                    <w:spacing w:val="-2"/>
                                    <w:sz w:val="32"/>
                                  </w:rPr>
                                  <w:t xml:space="preserve"> </w:t>
                                </w:r>
                                <w:r w:rsidRPr="00B842B5">
                                  <w:rPr>
                                    <w:rFonts w:ascii="Times New Roman" w:hAnsi="Times New Roman"/>
                                    <w:color w:val="000000"/>
                                    <w:sz w:val="32"/>
                                  </w:rPr>
                                  <w:t>Chemical</w:t>
                                </w:r>
                                <w:r w:rsidRPr="00B842B5">
                                  <w:rPr>
                                    <w:rFonts w:ascii="Times New Roman" w:hAnsi="Times New Roman"/>
                                    <w:color w:val="000000"/>
                                    <w:spacing w:val="-1"/>
                                    <w:sz w:val="32"/>
                                  </w:rPr>
                                  <w:t xml:space="preserve"> </w:t>
                                </w:r>
                                <w:r w:rsidRPr="00B842B5">
                                  <w:rPr>
                                    <w:rFonts w:ascii="Times New Roman" w:hAnsi="Times New Roman"/>
                                    <w:color w:val="000000"/>
                                    <w:sz w:val="32"/>
                                  </w:rPr>
                                  <w:t>Health</w:t>
                                </w:r>
                                <w:r w:rsidRPr="00B842B5">
                                  <w:rPr>
                                    <w:rFonts w:ascii="Times New Roman" w:hAnsi="Times New Roman"/>
                                    <w:color w:val="000000"/>
                                    <w:spacing w:val="-2"/>
                                    <w:sz w:val="32"/>
                                  </w:rPr>
                                  <w:t xml:space="preserve"> </w:t>
                                </w:r>
                                <w:r w:rsidRPr="00B842B5">
                                  <w:rPr>
                                    <w:rFonts w:ascii="Times New Roman" w:hAnsi="Times New Roman"/>
                                    <w:color w:val="000000"/>
                                    <w:sz w:val="32"/>
                                  </w:rPr>
                                  <w:t>Risks</w:t>
                                </w:r>
                              </w:p>
                              <w:p w14:paraId="168C0885" w14:textId="77777777" w:rsidR="00076670" w:rsidRDefault="00000000" w:rsidP="00B842B5">
                                <w:pPr>
                                  <w:spacing w:after="120"/>
                                  <w:jc w:val="center"/>
                                  <w:rPr>
                                    <w:rFonts w:ascii="Times New Roman" w:hAnsi="Times New Roman"/>
                                    <w:color w:val="000000"/>
                                  </w:rPr>
                                </w:pPr>
                                <w:hyperlink r:id="rId1">
                                  <w:r w:rsidR="00076670" w:rsidRPr="00B842B5">
                                    <w:rPr>
                                      <w:rFonts w:ascii="Times New Roman" w:hAnsi="Times New Roman"/>
                                      <w:color w:val="000000"/>
                                    </w:rPr>
                                    <w:t>www.jchr.org</w:t>
                                  </w:r>
                                </w:hyperlink>
                              </w:p>
                              <w:p w14:paraId="152F9615" w14:textId="2E61CBCE" w:rsidR="00076670" w:rsidRPr="00B842B5" w:rsidRDefault="00076670" w:rsidP="00B842B5">
                                <w:pPr>
                                  <w:spacing w:after="120"/>
                                  <w:jc w:val="center"/>
                                  <w:rPr>
                                    <w:rFonts w:ascii="Times New Roman" w:hAnsi="Times New Roman"/>
                                    <w:color w:val="000000"/>
                                  </w:rPr>
                                </w:pPr>
                                <w:r w:rsidRPr="00B842B5">
                                  <w:rPr>
                                    <w:rFonts w:ascii="Times New Roman" w:hAnsi="Times New Roman"/>
                                    <w:color w:val="000000"/>
                                  </w:rPr>
                                  <w:t>JCHR (20</w:t>
                                </w:r>
                                <w:r>
                                  <w:rPr>
                                    <w:rFonts w:ascii="Times New Roman" w:hAnsi="Times New Roman"/>
                                    <w:color w:val="000000"/>
                                  </w:rPr>
                                  <w:t>24</w:t>
                                </w:r>
                                <w:r w:rsidRPr="00B842B5">
                                  <w:rPr>
                                    <w:rFonts w:ascii="Times New Roman" w:hAnsi="Times New Roman"/>
                                    <w:color w:val="000000"/>
                                  </w:rPr>
                                  <w:t xml:space="preserve">) </w:t>
                                </w:r>
                                <w:r>
                                  <w:rPr>
                                    <w:rFonts w:ascii="Times New Roman" w:hAnsi="Times New Roman"/>
                                    <w:color w:val="000000"/>
                                  </w:rPr>
                                  <w:t>14</w:t>
                                </w:r>
                                <w:r w:rsidRPr="00B842B5">
                                  <w:rPr>
                                    <w:rFonts w:ascii="Times New Roman" w:hAnsi="Times New Roman"/>
                                    <w:color w:val="000000"/>
                                  </w:rPr>
                                  <w:t>(</w:t>
                                </w:r>
                                <w:r>
                                  <w:rPr>
                                    <w:rFonts w:ascii="Times New Roman" w:hAnsi="Times New Roman"/>
                                    <w:color w:val="000000"/>
                                  </w:rPr>
                                  <w:t>5</w:t>
                                </w:r>
                                <w:r w:rsidRPr="00B842B5">
                                  <w:rPr>
                                    <w:rFonts w:ascii="Times New Roman" w:hAnsi="Times New Roman"/>
                                    <w:color w:val="000000"/>
                                  </w:rPr>
                                  <w:t xml:space="preserve">), </w:t>
                                </w:r>
                                <w:r w:rsidR="00BC6B26">
                                  <w:rPr>
                                    <w:rFonts w:ascii="Times New Roman" w:hAnsi="Times New Roman"/>
                                    <w:color w:val="000000"/>
                                  </w:rPr>
                                  <w:t>708</w:t>
                                </w:r>
                                <w:r w:rsidRPr="00B842B5">
                                  <w:rPr>
                                    <w:rFonts w:ascii="Times New Roman" w:hAnsi="Times New Roman"/>
                                    <w:color w:val="000000"/>
                                  </w:rPr>
                                  <w:t>-</w:t>
                                </w:r>
                                <w:r w:rsidR="00BC6B26">
                                  <w:rPr>
                                    <w:rFonts w:ascii="Times New Roman" w:hAnsi="Times New Roman"/>
                                    <w:color w:val="000000"/>
                                  </w:rPr>
                                  <w:t>716</w:t>
                                </w:r>
                                <w:r>
                                  <w:rPr>
                                    <w:rFonts w:ascii="Times New Roman" w:hAnsi="Times New Roman"/>
                                    <w:color w:val="000000"/>
                                  </w:rPr>
                                  <w:t xml:space="preserve"> | </w:t>
                                </w:r>
                                <w:r w:rsidRPr="00BE39AD">
                                  <w:rPr>
                                    <w:rFonts w:ascii="Times New Roman" w:hAnsi="Times New Roman"/>
                                    <w:color w:val="000000"/>
                                  </w:rPr>
                                  <w:t>ISSN:2251-6727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C6873" id="_x0000_t202" coordsize="21600,21600" o:spt="202" path="m,l,21600r21600,l21600,xe">
                    <v:stroke joinstyle="miter"/>
                    <v:path gradientshapeok="t" o:connecttype="rect"/>
                  </v:shapetype>
                  <v:shape id="Text Box 1" o:spid="_x0000_s1026" type="#_x0000_t202" style="position:absolute;margin-left:5.8pt;margin-top:10.8pt;width:387.1pt;height:62.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" fillcolor="#d7d7d7" stroked="f">
                    <v:textbox inset="0,0,0,0">
                      <w:txbxContent>
                        <w:p w14:paraId="75A0027A" w14:textId="77777777" w:rsidR="00076670" w:rsidRPr="00B842B5" w:rsidRDefault="00076670" w:rsidP="00B842B5">
                          <w:pPr>
                            <w:spacing w:after="120"/>
                            <w:jc w:val="center"/>
                            <w:rPr>
                              <w:rFonts w:ascii="Times New Roman" w:hAnsi="Times New Roman"/>
                              <w:color w:val="000000"/>
                              <w:sz w:val="32"/>
                            </w:rPr>
                          </w:pPr>
                          <w:r w:rsidRPr="00B842B5">
                            <w:rPr>
                              <w:rFonts w:ascii="Times New Roman" w:hAnsi="Times New Roman"/>
                              <w:color w:val="000000"/>
                              <w:sz w:val="32"/>
                            </w:rPr>
                            <w:t>Journal</w:t>
                          </w:r>
                          <w:r w:rsidRPr="00B842B5">
                            <w:rPr>
                              <w:rFonts w:ascii="Times New Roman" w:hAnsi="Times New Roman"/>
                              <w:color w:val="000000"/>
                              <w:spacing w:val="-1"/>
                              <w:sz w:val="32"/>
                            </w:rPr>
                            <w:t xml:space="preserve"> </w:t>
                          </w:r>
                          <w:r w:rsidRPr="00B842B5">
                            <w:rPr>
                              <w:rFonts w:ascii="Times New Roman" w:hAnsi="Times New Roman"/>
                              <w:color w:val="000000"/>
                              <w:sz w:val="32"/>
                            </w:rPr>
                            <w:t>of</w:t>
                          </w:r>
                          <w:r w:rsidRPr="00B842B5">
                            <w:rPr>
                              <w:rFonts w:ascii="Times New Roman" w:hAnsi="Times New Roman"/>
                              <w:color w:val="000000"/>
                              <w:spacing w:val="-2"/>
                              <w:sz w:val="32"/>
                            </w:rPr>
                            <w:t xml:space="preserve"> </w:t>
                          </w:r>
                          <w:r w:rsidRPr="00B842B5">
                            <w:rPr>
                              <w:rFonts w:ascii="Times New Roman" w:hAnsi="Times New Roman"/>
                              <w:color w:val="000000"/>
                              <w:sz w:val="32"/>
                            </w:rPr>
                            <w:t>Chemical</w:t>
                          </w:r>
                          <w:r w:rsidRPr="00B842B5">
                            <w:rPr>
                              <w:rFonts w:ascii="Times New Roman" w:hAnsi="Times New Roman"/>
                              <w:color w:val="000000"/>
                              <w:spacing w:val="-1"/>
                              <w:sz w:val="32"/>
                            </w:rPr>
                            <w:t xml:space="preserve"> </w:t>
                          </w:r>
                          <w:r w:rsidRPr="00B842B5">
                            <w:rPr>
                              <w:rFonts w:ascii="Times New Roman" w:hAnsi="Times New Roman"/>
                              <w:color w:val="000000"/>
                              <w:sz w:val="32"/>
                            </w:rPr>
                            <w:t>Health</w:t>
                          </w:r>
                          <w:r w:rsidRPr="00B842B5">
                            <w:rPr>
                              <w:rFonts w:ascii="Times New Roman" w:hAnsi="Times New Roman"/>
                              <w:color w:val="000000"/>
                              <w:spacing w:val="-2"/>
                              <w:sz w:val="32"/>
                            </w:rPr>
                            <w:t xml:space="preserve"> </w:t>
                          </w:r>
                          <w:r w:rsidRPr="00B842B5">
                            <w:rPr>
                              <w:rFonts w:ascii="Times New Roman" w:hAnsi="Times New Roman"/>
                              <w:color w:val="000000"/>
                              <w:sz w:val="32"/>
                            </w:rPr>
                            <w:t>Risks</w:t>
                          </w:r>
                        </w:p>
                        <w:p w14:paraId="168C0885" w14:textId="77777777" w:rsidR="00076670" w:rsidRDefault="00000000" w:rsidP="00B842B5">
                          <w:pPr>
                            <w:spacing w:after="120"/>
                            <w:jc w:val="center"/>
                            <w:rPr>
                              <w:rFonts w:ascii="Times New Roman" w:hAnsi="Times New Roman"/>
                              <w:color w:val="000000"/>
                            </w:rPr>
                          </w:pPr>
                          <w:hyperlink r:id="rId2">
                            <w:r w:rsidR="00076670" w:rsidRPr="00B842B5">
                              <w:rPr>
                                <w:rFonts w:ascii="Times New Roman" w:hAnsi="Times New Roman"/>
                                <w:color w:val="000000"/>
                              </w:rPr>
                              <w:t>www.jchr.org</w:t>
                            </w:r>
                          </w:hyperlink>
                        </w:p>
                        <w:p w14:paraId="152F9615" w14:textId="2E61CBCE" w:rsidR="00076670" w:rsidRPr="00B842B5" w:rsidRDefault="00076670" w:rsidP="00B842B5">
                          <w:pPr>
                            <w:spacing w:after="120"/>
                            <w:jc w:val="center"/>
                            <w:rPr>
                              <w:rFonts w:ascii="Times New Roman" w:hAnsi="Times New Roman"/>
                              <w:color w:val="000000"/>
                            </w:rPr>
                          </w:pPr>
                          <w:r w:rsidRPr="00B842B5">
                            <w:rPr>
                              <w:rFonts w:ascii="Times New Roman" w:hAnsi="Times New Roman"/>
                              <w:color w:val="000000"/>
                            </w:rPr>
                            <w:t>JCHR (20</w:t>
                          </w:r>
                          <w:r>
                            <w:rPr>
                              <w:rFonts w:ascii="Times New Roman" w:hAnsi="Times New Roman"/>
                              <w:color w:val="000000"/>
                            </w:rPr>
                            <w:t>24</w:t>
                          </w:r>
                          <w:r w:rsidRPr="00B842B5">
                            <w:rPr>
                              <w:rFonts w:ascii="Times New Roman" w:hAnsi="Times New Roman"/>
                              <w:color w:val="000000"/>
                            </w:rPr>
                            <w:t xml:space="preserve">) </w:t>
                          </w:r>
                          <w:r>
                            <w:rPr>
                              <w:rFonts w:ascii="Times New Roman" w:hAnsi="Times New Roman"/>
                              <w:color w:val="000000"/>
                            </w:rPr>
                            <w:t>14</w:t>
                          </w:r>
                          <w:r w:rsidRPr="00B842B5">
                            <w:rPr>
                              <w:rFonts w:ascii="Times New Roman" w:hAnsi="Times New Roman"/>
                              <w:color w:val="000000"/>
                            </w:rPr>
                            <w:t>(</w:t>
                          </w:r>
                          <w:r>
                            <w:rPr>
                              <w:rFonts w:ascii="Times New Roman" w:hAnsi="Times New Roman"/>
                              <w:color w:val="000000"/>
                            </w:rPr>
                            <w:t>5</w:t>
                          </w:r>
                          <w:r w:rsidRPr="00B842B5">
                            <w:rPr>
                              <w:rFonts w:ascii="Times New Roman" w:hAnsi="Times New Roman"/>
                              <w:color w:val="000000"/>
                            </w:rPr>
                            <w:t xml:space="preserve">), </w:t>
                          </w:r>
                          <w:r w:rsidR="00BC6B26">
                            <w:rPr>
                              <w:rFonts w:ascii="Times New Roman" w:hAnsi="Times New Roman"/>
                              <w:color w:val="000000"/>
                            </w:rPr>
                            <w:t>708</w:t>
                          </w:r>
                          <w:r w:rsidRPr="00B842B5">
                            <w:rPr>
                              <w:rFonts w:ascii="Times New Roman" w:hAnsi="Times New Roman"/>
                              <w:color w:val="000000"/>
                            </w:rPr>
                            <w:t>-</w:t>
                          </w:r>
                          <w:r w:rsidR="00BC6B26">
                            <w:rPr>
                              <w:rFonts w:ascii="Times New Roman" w:hAnsi="Times New Roman"/>
                              <w:color w:val="000000"/>
                            </w:rPr>
                            <w:t>716</w:t>
                          </w:r>
                          <w:r>
                            <w:rPr>
                              <w:rFonts w:ascii="Times New Roman" w:hAnsi="Times New Roman"/>
                              <w:color w:val="000000"/>
                            </w:rPr>
                            <w:t xml:space="preserve"> | </w:t>
                          </w:r>
                          <w:r w:rsidRPr="00BE39AD">
                            <w:rPr>
                              <w:rFonts w:ascii="Times New Roman" w:hAnsi="Times New Roman"/>
                              <w:color w:val="000000"/>
                            </w:rPr>
                            <w:t>ISSN:2251-6727</w:t>
                          </w:r>
                        </w:p>
                      </w:txbxContent>
                    </v:textbox>
                    <w10:wrap type="topAndBottom" anchorx="page"/>
                  </v:shape>
                </w:pict>
              </mc:Fallback>
            </mc:AlternateContent>
          </w:r>
        </w:p>
      </w:tc>
      <w:tc>
        <w:tcPr>
          <w:tcW w:w="1701" w:type="dxa"/>
        </w:tcPr>
        <w:p w14:paraId="16F5E5D2" w14:textId="77777777" w:rsidR="00076670" w:rsidRDefault="00076670" w:rsidP="00240D54">
          <w:pPr>
            <w:pStyle w:val="Header"/>
            <w:spacing w:before="240"/>
          </w:pPr>
          <w:r>
            <w:rPr>
              <w:noProof/>
            </w:rPr>
            <w:drawing>
              <wp:inline distT="0" distB="0" distL="0" distR="0" wp14:anchorId="112E868E" wp14:editId="40ECA743">
                <wp:extent cx="653143" cy="843983"/>
                <wp:effectExtent l="0" t="0" r="0" b="0"/>
                <wp:docPr id="387449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8350" cy="863634"/>
                        </a:xfrm>
                        <a:prstGeom prst="rect">
                          <a:avLst/>
                        </a:prstGeom>
                        <a:noFill/>
                        <a:ln>
                          <a:noFill/>
                        </a:ln>
                      </pic:spPr>
                    </pic:pic>
                  </a:graphicData>
                </a:graphic>
              </wp:inline>
            </w:drawing>
          </w:r>
        </w:p>
      </w:tc>
    </w:tr>
  </w:tbl>
  <w:p w14:paraId="780C7697" w14:textId="77777777" w:rsidR="00076670" w:rsidRPr="00240D54" w:rsidRDefault="00076670" w:rsidP="00240D54">
    <w:pPr>
      <w:pStyle w:val="Header"/>
    </w:pPr>
  </w:p>
  <w:p w14:paraId="7518F69E" w14:textId="77777777" w:rsidR="00D460AE" w:rsidRDefault="00D460AE">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7B843" w14:textId="77777777" w:rsidR="00BC6B26" w:rsidRDefault="00BC6B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5DC0289E"/>
    <w:lvl w:ilvl="0">
      <w:start w:val="1"/>
      <w:numFmt w:val="decimal"/>
      <w:lvlText w:val="%1."/>
      <w:lvlJc w:val="left"/>
      <w:pPr>
        <w:ind w:left="1003" w:hanging="361"/>
        <w:jc w:val="right"/>
      </w:pPr>
      <w:rPr>
        <w:rFonts w:hint="default"/>
        <w:spacing w:val="0"/>
        <w:w w:val="95"/>
        <w:lang w:val="en-US" w:eastAsia="en-US" w:bidi="ar-SA"/>
      </w:rPr>
    </w:lvl>
    <w:lvl w:ilvl="1">
      <w:start w:val="1"/>
      <w:numFmt w:val="decimal"/>
      <w:lvlText w:val="%1.%2"/>
      <w:lvlJc w:val="left"/>
      <w:pPr>
        <w:ind w:left="1022" w:hanging="361"/>
        <w:jc w:val="right"/>
      </w:pPr>
      <w:rPr>
        <w:rFonts w:hint="default"/>
        <w:spacing w:val="0"/>
        <w:w w:val="100"/>
        <w:lang w:val="en-US" w:eastAsia="en-US" w:bidi="ar-SA"/>
      </w:rPr>
    </w:lvl>
    <w:lvl w:ilvl="2">
      <w:start w:val="1"/>
      <w:numFmt w:val="decimal"/>
      <w:lvlText w:val="%1.%2.%3"/>
      <w:lvlJc w:val="left"/>
      <w:pPr>
        <w:ind w:left="1363" w:hanging="361"/>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bullet"/>
      <w:lvlText w:val="•"/>
      <w:lvlJc w:val="left"/>
      <w:pPr>
        <w:ind w:left="1180" w:hanging="361"/>
      </w:pPr>
      <w:rPr>
        <w:rFonts w:hint="default"/>
        <w:lang w:val="en-US" w:eastAsia="en-US" w:bidi="ar-SA"/>
      </w:rPr>
    </w:lvl>
    <w:lvl w:ilvl="4">
      <w:start w:val="1"/>
      <w:numFmt w:val="bullet"/>
      <w:lvlText w:val="•"/>
      <w:lvlJc w:val="left"/>
      <w:pPr>
        <w:ind w:left="1360" w:hanging="361"/>
      </w:pPr>
      <w:rPr>
        <w:rFonts w:hint="default"/>
        <w:lang w:val="en-US" w:eastAsia="en-US" w:bidi="ar-SA"/>
      </w:rPr>
    </w:lvl>
    <w:lvl w:ilvl="5">
      <w:start w:val="1"/>
      <w:numFmt w:val="bullet"/>
      <w:lvlText w:val="•"/>
      <w:lvlJc w:val="left"/>
      <w:pPr>
        <w:ind w:left="2900" w:hanging="361"/>
      </w:pPr>
      <w:rPr>
        <w:rFonts w:hint="default"/>
        <w:lang w:val="en-US" w:eastAsia="en-US" w:bidi="ar-SA"/>
      </w:rPr>
    </w:lvl>
    <w:lvl w:ilvl="6">
      <w:start w:val="1"/>
      <w:numFmt w:val="bullet"/>
      <w:lvlText w:val="•"/>
      <w:lvlJc w:val="left"/>
      <w:pPr>
        <w:ind w:left="4440" w:hanging="361"/>
      </w:pPr>
      <w:rPr>
        <w:rFonts w:hint="default"/>
        <w:lang w:val="en-US" w:eastAsia="en-US" w:bidi="ar-SA"/>
      </w:rPr>
    </w:lvl>
    <w:lvl w:ilvl="7">
      <w:start w:val="1"/>
      <w:numFmt w:val="bullet"/>
      <w:lvlText w:val="•"/>
      <w:lvlJc w:val="left"/>
      <w:pPr>
        <w:ind w:left="5980" w:hanging="361"/>
      </w:pPr>
      <w:rPr>
        <w:rFonts w:hint="default"/>
        <w:lang w:val="en-US" w:eastAsia="en-US" w:bidi="ar-SA"/>
      </w:rPr>
    </w:lvl>
    <w:lvl w:ilvl="8">
      <w:start w:val="1"/>
      <w:numFmt w:val="bullet"/>
      <w:lvlText w:val="•"/>
      <w:lvlJc w:val="left"/>
      <w:pPr>
        <w:ind w:left="7520" w:hanging="361"/>
      </w:pPr>
      <w:rPr>
        <w:rFonts w:hint="default"/>
        <w:lang w:val="en-US" w:eastAsia="en-US" w:bidi="ar-SA"/>
      </w:rPr>
    </w:lvl>
  </w:abstractNum>
  <w:abstractNum w:abstractNumId="1" w15:restartNumberingAfterBreak="0">
    <w:nsid w:val="00000002"/>
    <w:multiLevelType w:val="hybridMultilevel"/>
    <w:tmpl w:val="616E2DAC"/>
    <w:lvl w:ilvl="0" w:tplc="6EF2A318">
      <w:start w:val="1"/>
      <w:numFmt w:val="decimal"/>
      <w:lvlText w:val="%1."/>
      <w:lvlJc w:val="left"/>
      <w:pPr>
        <w:ind w:left="931" w:hanging="303"/>
        <w:jc w:val="right"/>
      </w:pPr>
      <w:rPr>
        <w:rFonts w:ascii="Times New Roman" w:eastAsia="Times New Roman" w:hAnsi="Times New Roman" w:cs="Times New Roman" w:hint="default"/>
        <w:b w:val="0"/>
        <w:bCs w:val="0"/>
        <w:i w:val="0"/>
        <w:iCs w:val="0"/>
        <w:spacing w:val="0"/>
        <w:w w:val="100"/>
        <w:sz w:val="20"/>
        <w:szCs w:val="20"/>
        <w:lang w:val="en-US" w:eastAsia="en-US" w:bidi="ar-SA"/>
      </w:rPr>
    </w:lvl>
    <w:lvl w:ilvl="1" w:tplc="DE3E9156">
      <w:start w:val="1"/>
      <w:numFmt w:val="bullet"/>
      <w:lvlText w:val="•"/>
      <w:lvlJc w:val="left"/>
      <w:pPr>
        <w:ind w:left="1906" w:hanging="303"/>
      </w:pPr>
      <w:rPr>
        <w:rFonts w:hint="default"/>
        <w:lang w:val="en-US" w:eastAsia="en-US" w:bidi="ar-SA"/>
      </w:rPr>
    </w:lvl>
    <w:lvl w:ilvl="2" w:tplc="09962DA2">
      <w:start w:val="1"/>
      <w:numFmt w:val="bullet"/>
      <w:lvlText w:val="•"/>
      <w:lvlJc w:val="left"/>
      <w:pPr>
        <w:ind w:left="2872" w:hanging="303"/>
      </w:pPr>
      <w:rPr>
        <w:rFonts w:hint="default"/>
        <w:lang w:val="en-US" w:eastAsia="en-US" w:bidi="ar-SA"/>
      </w:rPr>
    </w:lvl>
    <w:lvl w:ilvl="3" w:tplc="E618E7B0">
      <w:start w:val="1"/>
      <w:numFmt w:val="bullet"/>
      <w:lvlText w:val="•"/>
      <w:lvlJc w:val="left"/>
      <w:pPr>
        <w:ind w:left="3838" w:hanging="303"/>
      </w:pPr>
      <w:rPr>
        <w:rFonts w:hint="default"/>
        <w:lang w:val="en-US" w:eastAsia="en-US" w:bidi="ar-SA"/>
      </w:rPr>
    </w:lvl>
    <w:lvl w:ilvl="4" w:tplc="0DA0236A">
      <w:start w:val="1"/>
      <w:numFmt w:val="bullet"/>
      <w:lvlText w:val="•"/>
      <w:lvlJc w:val="left"/>
      <w:pPr>
        <w:ind w:left="4804" w:hanging="303"/>
      </w:pPr>
      <w:rPr>
        <w:rFonts w:hint="default"/>
        <w:lang w:val="en-US" w:eastAsia="en-US" w:bidi="ar-SA"/>
      </w:rPr>
    </w:lvl>
    <w:lvl w:ilvl="5" w:tplc="1DBE4306">
      <w:start w:val="1"/>
      <w:numFmt w:val="bullet"/>
      <w:lvlText w:val="•"/>
      <w:lvlJc w:val="left"/>
      <w:pPr>
        <w:ind w:left="5770" w:hanging="303"/>
      </w:pPr>
      <w:rPr>
        <w:rFonts w:hint="default"/>
        <w:lang w:val="en-US" w:eastAsia="en-US" w:bidi="ar-SA"/>
      </w:rPr>
    </w:lvl>
    <w:lvl w:ilvl="6" w:tplc="B1B01864">
      <w:start w:val="1"/>
      <w:numFmt w:val="bullet"/>
      <w:lvlText w:val="•"/>
      <w:lvlJc w:val="left"/>
      <w:pPr>
        <w:ind w:left="6736" w:hanging="303"/>
      </w:pPr>
      <w:rPr>
        <w:rFonts w:hint="default"/>
        <w:lang w:val="en-US" w:eastAsia="en-US" w:bidi="ar-SA"/>
      </w:rPr>
    </w:lvl>
    <w:lvl w:ilvl="7" w:tplc="39FCFB72">
      <w:start w:val="1"/>
      <w:numFmt w:val="bullet"/>
      <w:lvlText w:val="•"/>
      <w:lvlJc w:val="left"/>
      <w:pPr>
        <w:ind w:left="7702" w:hanging="303"/>
      </w:pPr>
      <w:rPr>
        <w:rFonts w:hint="default"/>
        <w:lang w:val="en-US" w:eastAsia="en-US" w:bidi="ar-SA"/>
      </w:rPr>
    </w:lvl>
    <w:lvl w:ilvl="8" w:tplc="FCEA6484">
      <w:start w:val="1"/>
      <w:numFmt w:val="bullet"/>
      <w:lvlText w:val="•"/>
      <w:lvlJc w:val="left"/>
      <w:pPr>
        <w:ind w:left="8668" w:hanging="303"/>
      </w:pPr>
      <w:rPr>
        <w:rFonts w:hint="default"/>
        <w:lang w:val="en-US" w:eastAsia="en-US" w:bidi="ar-SA"/>
      </w:rPr>
    </w:lvl>
  </w:abstractNum>
  <w:abstractNum w:abstractNumId="2" w15:restartNumberingAfterBreak="0">
    <w:nsid w:val="00000003"/>
    <w:multiLevelType w:val="hybridMultilevel"/>
    <w:tmpl w:val="29CCB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E1DA05A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4" w15:restartNumberingAfterBreak="0">
    <w:nsid w:val="00000005"/>
    <w:multiLevelType w:val="multilevel"/>
    <w:tmpl w:val="5DC0289E"/>
    <w:lvl w:ilvl="0">
      <w:start w:val="1"/>
      <w:numFmt w:val="decimal"/>
      <w:lvlText w:val="%1."/>
      <w:lvlJc w:val="left"/>
      <w:pPr>
        <w:ind w:left="1003" w:hanging="361"/>
        <w:jc w:val="right"/>
      </w:pPr>
      <w:rPr>
        <w:rFonts w:hint="default"/>
        <w:spacing w:val="0"/>
        <w:w w:val="95"/>
        <w:lang w:val="en-US" w:eastAsia="en-US" w:bidi="ar-SA"/>
      </w:rPr>
    </w:lvl>
    <w:lvl w:ilvl="1">
      <w:start w:val="1"/>
      <w:numFmt w:val="decimal"/>
      <w:lvlText w:val="%1.%2"/>
      <w:lvlJc w:val="left"/>
      <w:pPr>
        <w:ind w:left="361" w:hanging="361"/>
        <w:jc w:val="right"/>
      </w:pPr>
      <w:rPr>
        <w:rFonts w:hint="default"/>
        <w:spacing w:val="0"/>
        <w:w w:val="100"/>
        <w:lang w:val="en-US" w:eastAsia="en-US" w:bidi="ar-SA"/>
      </w:rPr>
    </w:lvl>
    <w:lvl w:ilvl="2">
      <w:start w:val="1"/>
      <w:numFmt w:val="decimal"/>
      <w:lvlText w:val="%1.%2.%3"/>
      <w:lvlJc w:val="left"/>
      <w:pPr>
        <w:ind w:left="1363" w:hanging="361"/>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bullet"/>
      <w:lvlText w:val="•"/>
      <w:lvlJc w:val="left"/>
      <w:pPr>
        <w:ind w:left="1180" w:hanging="361"/>
      </w:pPr>
      <w:rPr>
        <w:rFonts w:hint="default"/>
        <w:lang w:val="en-US" w:eastAsia="en-US" w:bidi="ar-SA"/>
      </w:rPr>
    </w:lvl>
    <w:lvl w:ilvl="4">
      <w:start w:val="1"/>
      <w:numFmt w:val="bullet"/>
      <w:lvlText w:val="•"/>
      <w:lvlJc w:val="left"/>
      <w:pPr>
        <w:ind w:left="1360" w:hanging="361"/>
      </w:pPr>
      <w:rPr>
        <w:rFonts w:hint="default"/>
        <w:lang w:val="en-US" w:eastAsia="en-US" w:bidi="ar-SA"/>
      </w:rPr>
    </w:lvl>
    <w:lvl w:ilvl="5">
      <w:start w:val="1"/>
      <w:numFmt w:val="bullet"/>
      <w:lvlText w:val="•"/>
      <w:lvlJc w:val="left"/>
      <w:pPr>
        <w:ind w:left="2900" w:hanging="361"/>
      </w:pPr>
      <w:rPr>
        <w:rFonts w:hint="default"/>
        <w:lang w:val="en-US" w:eastAsia="en-US" w:bidi="ar-SA"/>
      </w:rPr>
    </w:lvl>
    <w:lvl w:ilvl="6">
      <w:start w:val="1"/>
      <w:numFmt w:val="bullet"/>
      <w:lvlText w:val="•"/>
      <w:lvlJc w:val="left"/>
      <w:pPr>
        <w:ind w:left="4440" w:hanging="361"/>
      </w:pPr>
      <w:rPr>
        <w:rFonts w:hint="default"/>
        <w:lang w:val="en-US" w:eastAsia="en-US" w:bidi="ar-SA"/>
      </w:rPr>
    </w:lvl>
    <w:lvl w:ilvl="7">
      <w:start w:val="1"/>
      <w:numFmt w:val="bullet"/>
      <w:lvlText w:val="•"/>
      <w:lvlJc w:val="left"/>
      <w:pPr>
        <w:ind w:left="5980" w:hanging="361"/>
      </w:pPr>
      <w:rPr>
        <w:rFonts w:hint="default"/>
        <w:lang w:val="en-US" w:eastAsia="en-US" w:bidi="ar-SA"/>
      </w:rPr>
    </w:lvl>
    <w:lvl w:ilvl="8">
      <w:start w:val="1"/>
      <w:numFmt w:val="bullet"/>
      <w:lvlText w:val="•"/>
      <w:lvlJc w:val="left"/>
      <w:pPr>
        <w:ind w:left="7520" w:hanging="361"/>
      </w:pPr>
      <w:rPr>
        <w:rFonts w:hint="default"/>
        <w:lang w:val="en-US" w:eastAsia="en-US" w:bidi="ar-SA"/>
      </w:rPr>
    </w:lvl>
  </w:abstractNum>
  <w:abstractNum w:abstractNumId="5" w15:restartNumberingAfterBreak="0">
    <w:nsid w:val="00000006"/>
    <w:multiLevelType w:val="multilevel"/>
    <w:tmpl w:val="09C29B76"/>
    <w:lvl w:ilvl="0">
      <w:start w:val="1"/>
      <w:numFmt w:val="decimal"/>
      <w:lvlText w:val="%1."/>
      <w:lvlJc w:val="left"/>
      <w:pPr>
        <w:ind w:left="1003" w:hanging="361"/>
        <w:jc w:val="right"/>
      </w:pPr>
      <w:rPr>
        <w:rFonts w:hint="default"/>
        <w:spacing w:val="0"/>
        <w:w w:val="95"/>
        <w:lang w:val="en-US" w:eastAsia="en-US" w:bidi="ar-SA"/>
      </w:rPr>
    </w:lvl>
    <w:lvl w:ilvl="1">
      <w:start w:val="1"/>
      <w:numFmt w:val="decimal"/>
      <w:lvlText w:val="%1.%2"/>
      <w:lvlJc w:val="left"/>
      <w:pPr>
        <w:ind w:left="1022" w:hanging="361"/>
        <w:jc w:val="right"/>
      </w:pPr>
      <w:rPr>
        <w:rFonts w:hint="default"/>
        <w:spacing w:val="0"/>
        <w:w w:val="100"/>
        <w:lang w:val="en-US" w:eastAsia="en-US" w:bidi="ar-SA"/>
      </w:rPr>
    </w:lvl>
    <w:lvl w:ilvl="2">
      <w:start w:val="1"/>
      <w:numFmt w:val="decimal"/>
      <w:lvlText w:val="%1.%2.%3"/>
      <w:lvlJc w:val="left"/>
      <w:pPr>
        <w:ind w:left="1363" w:hanging="361"/>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bullet"/>
      <w:lvlText w:val="•"/>
      <w:lvlJc w:val="left"/>
      <w:pPr>
        <w:ind w:left="1180" w:hanging="361"/>
      </w:pPr>
      <w:rPr>
        <w:rFonts w:hint="default"/>
        <w:lang w:val="en-US" w:eastAsia="en-US" w:bidi="ar-SA"/>
      </w:rPr>
    </w:lvl>
    <w:lvl w:ilvl="4">
      <w:start w:val="1"/>
      <w:numFmt w:val="bullet"/>
      <w:lvlText w:val="•"/>
      <w:lvlJc w:val="left"/>
      <w:pPr>
        <w:ind w:left="1360" w:hanging="361"/>
      </w:pPr>
      <w:rPr>
        <w:rFonts w:hint="default"/>
        <w:lang w:val="en-US" w:eastAsia="en-US" w:bidi="ar-SA"/>
      </w:rPr>
    </w:lvl>
    <w:lvl w:ilvl="5">
      <w:start w:val="1"/>
      <w:numFmt w:val="bullet"/>
      <w:lvlText w:val="•"/>
      <w:lvlJc w:val="left"/>
      <w:pPr>
        <w:ind w:left="2900" w:hanging="361"/>
      </w:pPr>
      <w:rPr>
        <w:rFonts w:hint="default"/>
        <w:lang w:val="en-US" w:eastAsia="en-US" w:bidi="ar-SA"/>
      </w:rPr>
    </w:lvl>
    <w:lvl w:ilvl="6">
      <w:start w:val="1"/>
      <w:numFmt w:val="bullet"/>
      <w:lvlText w:val="•"/>
      <w:lvlJc w:val="left"/>
      <w:pPr>
        <w:ind w:left="4440" w:hanging="361"/>
      </w:pPr>
      <w:rPr>
        <w:rFonts w:hint="default"/>
        <w:lang w:val="en-US" w:eastAsia="en-US" w:bidi="ar-SA"/>
      </w:rPr>
    </w:lvl>
    <w:lvl w:ilvl="7">
      <w:start w:val="1"/>
      <w:numFmt w:val="bullet"/>
      <w:lvlText w:val="•"/>
      <w:lvlJc w:val="left"/>
      <w:pPr>
        <w:ind w:left="5980" w:hanging="361"/>
      </w:pPr>
      <w:rPr>
        <w:rFonts w:hint="default"/>
        <w:lang w:val="en-US" w:eastAsia="en-US" w:bidi="ar-SA"/>
      </w:rPr>
    </w:lvl>
    <w:lvl w:ilvl="8">
      <w:start w:val="1"/>
      <w:numFmt w:val="bullet"/>
      <w:lvlText w:val="•"/>
      <w:lvlJc w:val="left"/>
      <w:pPr>
        <w:ind w:left="7520" w:hanging="361"/>
      </w:pPr>
      <w:rPr>
        <w:rFonts w:hint="default"/>
        <w:lang w:val="en-US" w:eastAsia="en-US" w:bidi="ar-SA"/>
      </w:rPr>
    </w:lvl>
  </w:abstractNum>
  <w:abstractNum w:abstractNumId="6" w15:restartNumberingAfterBreak="0">
    <w:nsid w:val="00000007"/>
    <w:multiLevelType w:val="hybridMultilevel"/>
    <w:tmpl w:val="521453C2"/>
    <w:lvl w:ilvl="0" w:tplc="A7E22A34">
      <w:start w:val="1"/>
      <w:numFmt w:val="decimal"/>
      <w:lvlText w:val="%1."/>
      <w:lvlJc w:val="left"/>
      <w:pPr>
        <w:ind w:left="1541" w:hanging="360"/>
      </w:pPr>
      <w:rPr>
        <w:rFonts w:ascii="Times New Roman" w:eastAsia="Times New Roman" w:hAnsi="Times New Roman" w:cs="Times New Roman" w:hint="default"/>
        <w:b/>
        <w:bCs/>
        <w:i w:val="0"/>
        <w:iCs w:val="0"/>
        <w:spacing w:val="0"/>
        <w:w w:val="100"/>
        <w:sz w:val="20"/>
        <w:szCs w:val="20"/>
        <w:lang w:val="en-US" w:eastAsia="en-US" w:bidi="ar-SA"/>
      </w:rPr>
    </w:lvl>
    <w:lvl w:ilvl="1" w:tplc="FF4800F0">
      <w:start w:val="1"/>
      <w:numFmt w:val="decimal"/>
      <w:lvlText w:val="(%2)"/>
      <w:lvlJc w:val="left"/>
      <w:pPr>
        <w:ind w:left="1843" w:hanging="341"/>
      </w:pPr>
      <w:rPr>
        <w:rFonts w:ascii="Times New Roman" w:eastAsia="Times New Roman" w:hAnsi="Times New Roman" w:cs="Times New Roman" w:hint="default"/>
        <w:b w:val="0"/>
        <w:bCs w:val="0"/>
        <w:i w:val="0"/>
        <w:iCs w:val="0"/>
        <w:spacing w:val="0"/>
        <w:w w:val="100"/>
        <w:sz w:val="24"/>
        <w:szCs w:val="24"/>
        <w:lang w:val="en-US" w:eastAsia="en-US" w:bidi="ar-SA"/>
      </w:rPr>
    </w:lvl>
    <w:lvl w:ilvl="2" w:tplc="488C730C">
      <w:start w:val="1"/>
      <w:numFmt w:val="bullet"/>
      <w:lvlText w:val="•"/>
      <w:lvlJc w:val="left"/>
      <w:pPr>
        <w:ind w:left="2813" w:hanging="341"/>
      </w:pPr>
      <w:rPr>
        <w:rFonts w:hint="default"/>
        <w:lang w:val="en-US" w:eastAsia="en-US" w:bidi="ar-SA"/>
      </w:rPr>
    </w:lvl>
    <w:lvl w:ilvl="3" w:tplc="2B884804">
      <w:start w:val="1"/>
      <w:numFmt w:val="bullet"/>
      <w:lvlText w:val="•"/>
      <w:lvlJc w:val="left"/>
      <w:pPr>
        <w:ind w:left="3786" w:hanging="341"/>
      </w:pPr>
      <w:rPr>
        <w:rFonts w:hint="default"/>
        <w:lang w:val="en-US" w:eastAsia="en-US" w:bidi="ar-SA"/>
      </w:rPr>
    </w:lvl>
    <w:lvl w:ilvl="4" w:tplc="4CE43F1C">
      <w:start w:val="1"/>
      <w:numFmt w:val="bullet"/>
      <w:lvlText w:val="•"/>
      <w:lvlJc w:val="left"/>
      <w:pPr>
        <w:ind w:left="4760" w:hanging="341"/>
      </w:pPr>
      <w:rPr>
        <w:rFonts w:hint="default"/>
        <w:lang w:val="en-US" w:eastAsia="en-US" w:bidi="ar-SA"/>
      </w:rPr>
    </w:lvl>
    <w:lvl w:ilvl="5" w:tplc="64603AFC">
      <w:start w:val="1"/>
      <w:numFmt w:val="bullet"/>
      <w:lvlText w:val="•"/>
      <w:lvlJc w:val="left"/>
      <w:pPr>
        <w:ind w:left="5733" w:hanging="341"/>
      </w:pPr>
      <w:rPr>
        <w:rFonts w:hint="default"/>
        <w:lang w:val="en-US" w:eastAsia="en-US" w:bidi="ar-SA"/>
      </w:rPr>
    </w:lvl>
    <w:lvl w:ilvl="6" w:tplc="1DAE0D4E">
      <w:start w:val="1"/>
      <w:numFmt w:val="bullet"/>
      <w:lvlText w:val="•"/>
      <w:lvlJc w:val="left"/>
      <w:pPr>
        <w:ind w:left="6706" w:hanging="341"/>
      </w:pPr>
      <w:rPr>
        <w:rFonts w:hint="default"/>
        <w:lang w:val="en-US" w:eastAsia="en-US" w:bidi="ar-SA"/>
      </w:rPr>
    </w:lvl>
    <w:lvl w:ilvl="7" w:tplc="C114B186">
      <w:start w:val="1"/>
      <w:numFmt w:val="bullet"/>
      <w:lvlText w:val="•"/>
      <w:lvlJc w:val="left"/>
      <w:pPr>
        <w:ind w:left="7680" w:hanging="341"/>
      </w:pPr>
      <w:rPr>
        <w:rFonts w:hint="default"/>
        <w:lang w:val="en-US" w:eastAsia="en-US" w:bidi="ar-SA"/>
      </w:rPr>
    </w:lvl>
    <w:lvl w:ilvl="8" w:tplc="D7F0C886">
      <w:start w:val="1"/>
      <w:numFmt w:val="bullet"/>
      <w:lvlText w:val="•"/>
      <w:lvlJc w:val="left"/>
      <w:pPr>
        <w:ind w:left="8653" w:hanging="341"/>
      </w:pPr>
      <w:rPr>
        <w:rFonts w:hint="default"/>
        <w:lang w:val="en-US" w:eastAsia="en-US" w:bidi="ar-SA"/>
      </w:rPr>
    </w:lvl>
  </w:abstractNum>
  <w:abstractNum w:abstractNumId="7" w15:restartNumberingAfterBreak="0">
    <w:nsid w:val="00000008"/>
    <w:multiLevelType w:val="multilevel"/>
    <w:tmpl w:val="09C29B76"/>
    <w:lvl w:ilvl="0">
      <w:start w:val="1"/>
      <w:numFmt w:val="decimal"/>
      <w:lvlText w:val="%1."/>
      <w:lvlJc w:val="left"/>
      <w:pPr>
        <w:ind w:left="1003" w:hanging="361"/>
        <w:jc w:val="right"/>
      </w:pPr>
      <w:rPr>
        <w:rFonts w:hint="default"/>
        <w:spacing w:val="0"/>
        <w:w w:val="95"/>
        <w:lang w:val="en-US" w:eastAsia="en-US" w:bidi="ar-SA"/>
      </w:rPr>
    </w:lvl>
    <w:lvl w:ilvl="1">
      <w:start w:val="1"/>
      <w:numFmt w:val="decimal"/>
      <w:lvlText w:val="%1.%2"/>
      <w:lvlJc w:val="left"/>
      <w:pPr>
        <w:ind w:left="1022" w:hanging="361"/>
        <w:jc w:val="right"/>
      </w:pPr>
      <w:rPr>
        <w:rFonts w:hint="default"/>
        <w:spacing w:val="0"/>
        <w:w w:val="100"/>
        <w:lang w:val="en-US" w:eastAsia="en-US" w:bidi="ar-SA"/>
      </w:rPr>
    </w:lvl>
    <w:lvl w:ilvl="2">
      <w:start w:val="1"/>
      <w:numFmt w:val="decimal"/>
      <w:lvlText w:val="%1.%2.%3"/>
      <w:lvlJc w:val="left"/>
      <w:pPr>
        <w:ind w:left="1363" w:hanging="361"/>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bullet"/>
      <w:lvlText w:val="•"/>
      <w:lvlJc w:val="left"/>
      <w:pPr>
        <w:ind w:left="1180" w:hanging="361"/>
      </w:pPr>
      <w:rPr>
        <w:rFonts w:hint="default"/>
        <w:lang w:val="en-US" w:eastAsia="en-US" w:bidi="ar-SA"/>
      </w:rPr>
    </w:lvl>
    <w:lvl w:ilvl="4">
      <w:start w:val="1"/>
      <w:numFmt w:val="bullet"/>
      <w:lvlText w:val="•"/>
      <w:lvlJc w:val="left"/>
      <w:pPr>
        <w:ind w:left="1360" w:hanging="361"/>
      </w:pPr>
      <w:rPr>
        <w:rFonts w:hint="default"/>
        <w:lang w:val="en-US" w:eastAsia="en-US" w:bidi="ar-SA"/>
      </w:rPr>
    </w:lvl>
    <w:lvl w:ilvl="5">
      <w:start w:val="1"/>
      <w:numFmt w:val="bullet"/>
      <w:lvlText w:val="•"/>
      <w:lvlJc w:val="left"/>
      <w:pPr>
        <w:ind w:left="2900" w:hanging="361"/>
      </w:pPr>
      <w:rPr>
        <w:rFonts w:hint="default"/>
        <w:lang w:val="en-US" w:eastAsia="en-US" w:bidi="ar-SA"/>
      </w:rPr>
    </w:lvl>
    <w:lvl w:ilvl="6">
      <w:start w:val="1"/>
      <w:numFmt w:val="bullet"/>
      <w:lvlText w:val="•"/>
      <w:lvlJc w:val="left"/>
      <w:pPr>
        <w:ind w:left="4440" w:hanging="361"/>
      </w:pPr>
      <w:rPr>
        <w:rFonts w:hint="default"/>
        <w:lang w:val="en-US" w:eastAsia="en-US" w:bidi="ar-SA"/>
      </w:rPr>
    </w:lvl>
    <w:lvl w:ilvl="7">
      <w:start w:val="1"/>
      <w:numFmt w:val="bullet"/>
      <w:lvlText w:val="•"/>
      <w:lvlJc w:val="left"/>
      <w:pPr>
        <w:ind w:left="5980" w:hanging="361"/>
      </w:pPr>
      <w:rPr>
        <w:rFonts w:hint="default"/>
        <w:lang w:val="en-US" w:eastAsia="en-US" w:bidi="ar-SA"/>
      </w:rPr>
    </w:lvl>
    <w:lvl w:ilvl="8">
      <w:start w:val="1"/>
      <w:numFmt w:val="bullet"/>
      <w:lvlText w:val="•"/>
      <w:lvlJc w:val="left"/>
      <w:pPr>
        <w:ind w:left="7520" w:hanging="361"/>
      </w:pPr>
      <w:rPr>
        <w:rFonts w:hint="default"/>
        <w:lang w:val="en-US" w:eastAsia="en-US" w:bidi="ar-SA"/>
      </w:rPr>
    </w:lvl>
  </w:abstractNum>
  <w:abstractNum w:abstractNumId="8" w15:restartNumberingAfterBreak="0">
    <w:nsid w:val="00000009"/>
    <w:multiLevelType w:val="multilevel"/>
    <w:tmpl w:val="E2AC89A0"/>
    <w:lvl w:ilvl="0">
      <w:start w:val="1"/>
      <w:numFmt w:val="decimal"/>
      <w:lvlText w:val="%1."/>
      <w:lvlJc w:val="left"/>
      <w:pPr>
        <w:ind w:left="1003" w:hanging="361"/>
        <w:jc w:val="right"/>
      </w:pPr>
      <w:rPr>
        <w:rFonts w:hint="default"/>
        <w:spacing w:val="0"/>
        <w:w w:val="95"/>
        <w:lang w:val="en-US" w:eastAsia="en-US" w:bidi="ar-SA"/>
      </w:rPr>
    </w:lvl>
    <w:lvl w:ilvl="1">
      <w:start w:val="1"/>
      <w:numFmt w:val="decimal"/>
      <w:lvlText w:val="%1.%2"/>
      <w:lvlJc w:val="left"/>
      <w:pPr>
        <w:ind w:left="1022" w:hanging="361"/>
        <w:jc w:val="right"/>
      </w:pPr>
      <w:rPr>
        <w:rFonts w:hint="default"/>
        <w:spacing w:val="0"/>
        <w:w w:val="100"/>
        <w:lang w:val="en-US" w:eastAsia="en-US" w:bidi="ar-SA"/>
      </w:rPr>
    </w:lvl>
    <w:lvl w:ilvl="2">
      <w:start w:val="1"/>
      <w:numFmt w:val="decimal"/>
      <w:lvlText w:val="%1.%2.%3"/>
      <w:lvlJc w:val="left"/>
      <w:pPr>
        <w:ind w:left="1363" w:hanging="361"/>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bullet"/>
      <w:lvlText w:val="•"/>
      <w:lvlJc w:val="left"/>
      <w:pPr>
        <w:ind w:left="1180" w:hanging="361"/>
      </w:pPr>
      <w:rPr>
        <w:rFonts w:hint="default"/>
        <w:lang w:val="en-US" w:eastAsia="en-US" w:bidi="ar-SA"/>
      </w:rPr>
    </w:lvl>
    <w:lvl w:ilvl="4">
      <w:start w:val="1"/>
      <w:numFmt w:val="bullet"/>
      <w:lvlText w:val="•"/>
      <w:lvlJc w:val="left"/>
      <w:pPr>
        <w:ind w:left="1360" w:hanging="361"/>
      </w:pPr>
      <w:rPr>
        <w:rFonts w:hint="default"/>
        <w:lang w:val="en-US" w:eastAsia="en-US" w:bidi="ar-SA"/>
      </w:rPr>
    </w:lvl>
    <w:lvl w:ilvl="5">
      <w:start w:val="1"/>
      <w:numFmt w:val="bullet"/>
      <w:lvlText w:val="•"/>
      <w:lvlJc w:val="left"/>
      <w:pPr>
        <w:ind w:left="2900" w:hanging="361"/>
      </w:pPr>
      <w:rPr>
        <w:rFonts w:hint="default"/>
        <w:lang w:val="en-US" w:eastAsia="en-US" w:bidi="ar-SA"/>
      </w:rPr>
    </w:lvl>
    <w:lvl w:ilvl="6">
      <w:start w:val="1"/>
      <w:numFmt w:val="bullet"/>
      <w:lvlText w:val="•"/>
      <w:lvlJc w:val="left"/>
      <w:pPr>
        <w:ind w:left="4440" w:hanging="361"/>
      </w:pPr>
      <w:rPr>
        <w:rFonts w:hint="default"/>
        <w:lang w:val="en-US" w:eastAsia="en-US" w:bidi="ar-SA"/>
      </w:rPr>
    </w:lvl>
    <w:lvl w:ilvl="7">
      <w:start w:val="1"/>
      <w:numFmt w:val="bullet"/>
      <w:lvlText w:val="•"/>
      <w:lvlJc w:val="left"/>
      <w:pPr>
        <w:ind w:left="5980" w:hanging="361"/>
      </w:pPr>
      <w:rPr>
        <w:rFonts w:hint="default"/>
        <w:lang w:val="en-US" w:eastAsia="en-US" w:bidi="ar-SA"/>
      </w:rPr>
    </w:lvl>
    <w:lvl w:ilvl="8">
      <w:start w:val="1"/>
      <w:numFmt w:val="bullet"/>
      <w:lvlText w:val="•"/>
      <w:lvlJc w:val="left"/>
      <w:pPr>
        <w:ind w:left="7520" w:hanging="361"/>
      </w:pPr>
      <w:rPr>
        <w:rFonts w:hint="default"/>
        <w:lang w:val="en-US" w:eastAsia="en-US" w:bidi="ar-SA"/>
      </w:rPr>
    </w:lvl>
  </w:abstractNum>
  <w:abstractNum w:abstractNumId="9" w15:restartNumberingAfterBreak="0">
    <w:nsid w:val="0000000A"/>
    <w:multiLevelType w:val="hybridMultilevel"/>
    <w:tmpl w:val="DF1E4504"/>
    <w:lvl w:ilvl="0" w:tplc="102CA3F4">
      <w:start w:val="1"/>
      <w:numFmt w:val="bullet"/>
      <w:lvlText w:val=""/>
      <w:lvlJc w:val="left"/>
      <w:pPr>
        <w:ind w:left="1181" w:hanging="270"/>
      </w:pPr>
      <w:rPr>
        <w:rFonts w:ascii="Symbol" w:eastAsia="Symbol" w:hAnsi="Symbol" w:cs="Symbol" w:hint="default"/>
        <w:b w:val="0"/>
        <w:bCs w:val="0"/>
        <w:i w:val="0"/>
        <w:iCs w:val="0"/>
        <w:spacing w:val="0"/>
        <w:w w:val="100"/>
        <w:sz w:val="24"/>
        <w:szCs w:val="24"/>
        <w:lang w:val="en-US" w:eastAsia="en-US" w:bidi="ar-SA"/>
      </w:rPr>
    </w:lvl>
    <w:lvl w:ilvl="1" w:tplc="3A4CF0FC">
      <w:start w:val="1"/>
      <w:numFmt w:val="bullet"/>
      <w:lvlText w:val="•"/>
      <w:lvlJc w:val="left"/>
      <w:pPr>
        <w:ind w:left="1482" w:hanging="270"/>
      </w:pPr>
      <w:rPr>
        <w:rFonts w:hint="default"/>
        <w:lang w:val="en-US" w:eastAsia="en-US" w:bidi="ar-SA"/>
      </w:rPr>
    </w:lvl>
    <w:lvl w:ilvl="2" w:tplc="B8B23700">
      <w:start w:val="1"/>
      <w:numFmt w:val="bullet"/>
      <w:lvlText w:val="•"/>
      <w:lvlJc w:val="left"/>
      <w:pPr>
        <w:ind w:left="1785" w:hanging="270"/>
      </w:pPr>
      <w:rPr>
        <w:rFonts w:hint="default"/>
        <w:lang w:val="en-US" w:eastAsia="en-US" w:bidi="ar-SA"/>
      </w:rPr>
    </w:lvl>
    <w:lvl w:ilvl="3" w:tplc="5EAEC0A0">
      <w:start w:val="1"/>
      <w:numFmt w:val="bullet"/>
      <w:lvlText w:val="•"/>
      <w:lvlJc w:val="left"/>
      <w:pPr>
        <w:ind w:left="2088" w:hanging="270"/>
      </w:pPr>
      <w:rPr>
        <w:rFonts w:hint="default"/>
        <w:lang w:val="en-US" w:eastAsia="en-US" w:bidi="ar-SA"/>
      </w:rPr>
    </w:lvl>
    <w:lvl w:ilvl="4" w:tplc="4C70B7E0">
      <w:start w:val="1"/>
      <w:numFmt w:val="bullet"/>
      <w:lvlText w:val="•"/>
      <w:lvlJc w:val="left"/>
      <w:pPr>
        <w:ind w:left="2391" w:hanging="270"/>
      </w:pPr>
      <w:rPr>
        <w:rFonts w:hint="default"/>
        <w:lang w:val="en-US" w:eastAsia="en-US" w:bidi="ar-SA"/>
      </w:rPr>
    </w:lvl>
    <w:lvl w:ilvl="5" w:tplc="C1E0607A">
      <w:start w:val="1"/>
      <w:numFmt w:val="bullet"/>
      <w:lvlText w:val="•"/>
      <w:lvlJc w:val="left"/>
      <w:pPr>
        <w:ind w:left="2694" w:hanging="270"/>
      </w:pPr>
      <w:rPr>
        <w:rFonts w:hint="default"/>
        <w:lang w:val="en-US" w:eastAsia="en-US" w:bidi="ar-SA"/>
      </w:rPr>
    </w:lvl>
    <w:lvl w:ilvl="6" w:tplc="7C8CAB3C">
      <w:start w:val="1"/>
      <w:numFmt w:val="bullet"/>
      <w:lvlText w:val="•"/>
      <w:lvlJc w:val="left"/>
      <w:pPr>
        <w:ind w:left="2996" w:hanging="270"/>
      </w:pPr>
      <w:rPr>
        <w:rFonts w:hint="default"/>
        <w:lang w:val="en-US" w:eastAsia="en-US" w:bidi="ar-SA"/>
      </w:rPr>
    </w:lvl>
    <w:lvl w:ilvl="7" w:tplc="91BEAAC6">
      <w:start w:val="1"/>
      <w:numFmt w:val="bullet"/>
      <w:lvlText w:val="•"/>
      <w:lvlJc w:val="left"/>
      <w:pPr>
        <w:ind w:left="3299" w:hanging="270"/>
      </w:pPr>
      <w:rPr>
        <w:rFonts w:hint="default"/>
        <w:lang w:val="en-US" w:eastAsia="en-US" w:bidi="ar-SA"/>
      </w:rPr>
    </w:lvl>
    <w:lvl w:ilvl="8" w:tplc="E256AF56">
      <w:start w:val="1"/>
      <w:numFmt w:val="bullet"/>
      <w:lvlText w:val="•"/>
      <w:lvlJc w:val="left"/>
      <w:pPr>
        <w:ind w:left="3602" w:hanging="270"/>
      </w:pPr>
      <w:rPr>
        <w:rFonts w:hint="default"/>
        <w:lang w:val="en-US" w:eastAsia="en-US" w:bidi="ar-SA"/>
      </w:rPr>
    </w:lvl>
  </w:abstractNum>
  <w:abstractNum w:abstractNumId="10" w15:restartNumberingAfterBreak="0">
    <w:nsid w:val="0000000B"/>
    <w:multiLevelType w:val="multilevel"/>
    <w:tmpl w:val="E2AC89A0"/>
    <w:lvl w:ilvl="0">
      <w:start w:val="1"/>
      <w:numFmt w:val="decimal"/>
      <w:lvlText w:val="%1."/>
      <w:lvlJc w:val="left"/>
      <w:pPr>
        <w:ind w:left="361" w:hanging="361"/>
        <w:jc w:val="right"/>
      </w:pPr>
      <w:rPr>
        <w:rFonts w:hint="default"/>
        <w:spacing w:val="0"/>
        <w:w w:val="95"/>
        <w:lang w:val="en-US" w:eastAsia="en-US" w:bidi="ar-SA"/>
      </w:rPr>
    </w:lvl>
    <w:lvl w:ilvl="1">
      <w:start w:val="1"/>
      <w:numFmt w:val="decimal"/>
      <w:lvlText w:val="%1.%2"/>
      <w:lvlJc w:val="left"/>
      <w:pPr>
        <w:ind w:left="380" w:hanging="361"/>
        <w:jc w:val="right"/>
      </w:pPr>
      <w:rPr>
        <w:rFonts w:hint="default"/>
        <w:spacing w:val="0"/>
        <w:w w:val="100"/>
        <w:lang w:val="en-US" w:eastAsia="en-US" w:bidi="ar-SA"/>
      </w:rPr>
    </w:lvl>
    <w:lvl w:ilvl="2">
      <w:start w:val="1"/>
      <w:numFmt w:val="decimal"/>
      <w:lvlText w:val="%1.%2.%3"/>
      <w:lvlJc w:val="left"/>
      <w:pPr>
        <w:ind w:left="721" w:hanging="361"/>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bullet"/>
      <w:lvlText w:val="•"/>
      <w:lvlJc w:val="left"/>
      <w:pPr>
        <w:ind w:left="538" w:hanging="361"/>
      </w:pPr>
      <w:rPr>
        <w:rFonts w:hint="default"/>
        <w:lang w:val="en-US" w:eastAsia="en-US" w:bidi="ar-SA"/>
      </w:rPr>
    </w:lvl>
    <w:lvl w:ilvl="4">
      <w:start w:val="1"/>
      <w:numFmt w:val="bullet"/>
      <w:lvlText w:val="•"/>
      <w:lvlJc w:val="left"/>
      <w:pPr>
        <w:ind w:left="718" w:hanging="361"/>
      </w:pPr>
      <w:rPr>
        <w:rFonts w:hint="default"/>
        <w:lang w:val="en-US" w:eastAsia="en-US" w:bidi="ar-SA"/>
      </w:rPr>
    </w:lvl>
    <w:lvl w:ilvl="5">
      <w:start w:val="1"/>
      <w:numFmt w:val="bullet"/>
      <w:lvlText w:val="•"/>
      <w:lvlJc w:val="left"/>
      <w:pPr>
        <w:ind w:left="2258" w:hanging="361"/>
      </w:pPr>
      <w:rPr>
        <w:rFonts w:hint="default"/>
        <w:lang w:val="en-US" w:eastAsia="en-US" w:bidi="ar-SA"/>
      </w:rPr>
    </w:lvl>
    <w:lvl w:ilvl="6">
      <w:start w:val="1"/>
      <w:numFmt w:val="bullet"/>
      <w:lvlText w:val="•"/>
      <w:lvlJc w:val="left"/>
      <w:pPr>
        <w:ind w:left="3798" w:hanging="361"/>
      </w:pPr>
      <w:rPr>
        <w:rFonts w:hint="default"/>
        <w:lang w:val="en-US" w:eastAsia="en-US" w:bidi="ar-SA"/>
      </w:rPr>
    </w:lvl>
    <w:lvl w:ilvl="7">
      <w:start w:val="1"/>
      <w:numFmt w:val="bullet"/>
      <w:lvlText w:val="•"/>
      <w:lvlJc w:val="left"/>
      <w:pPr>
        <w:ind w:left="5338" w:hanging="361"/>
      </w:pPr>
      <w:rPr>
        <w:rFonts w:hint="default"/>
        <w:lang w:val="en-US" w:eastAsia="en-US" w:bidi="ar-SA"/>
      </w:rPr>
    </w:lvl>
    <w:lvl w:ilvl="8">
      <w:start w:val="1"/>
      <w:numFmt w:val="bullet"/>
      <w:lvlText w:val="•"/>
      <w:lvlJc w:val="left"/>
      <w:pPr>
        <w:ind w:left="6878" w:hanging="361"/>
      </w:pPr>
      <w:rPr>
        <w:rFonts w:hint="default"/>
        <w:lang w:val="en-US" w:eastAsia="en-US" w:bidi="ar-SA"/>
      </w:rPr>
    </w:lvl>
  </w:abstractNum>
  <w:abstractNum w:abstractNumId="11" w15:restartNumberingAfterBreak="0">
    <w:nsid w:val="18F53026"/>
    <w:multiLevelType w:val="multilevel"/>
    <w:tmpl w:val="5DC0289E"/>
    <w:lvl w:ilvl="0">
      <w:start w:val="1"/>
      <w:numFmt w:val="decimal"/>
      <w:lvlText w:val="%1."/>
      <w:lvlJc w:val="left"/>
      <w:pPr>
        <w:ind w:left="1003" w:hanging="361"/>
        <w:jc w:val="right"/>
      </w:pPr>
      <w:rPr>
        <w:rFonts w:hint="default"/>
        <w:spacing w:val="0"/>
        <w:w w:val="95"/>
        <w:lang w:val="en-US" w:eastAsia="en-US" w:bidi="ar-SA"/>
      </w:rPr>
    </w:lvl>
    <w:lvl w:ilvl="1">
      <w:start w:val="1"/>
      <w:numFmt w:val="decimal"/>
      <w:lvlText w:val="%1.%2"/>
      <w:lvlJc w:val="left"/>
      <w:pPr>
        <w:ind w:left="1022" w:hanging="361"/>
        <w:jc w:val="right"/>
      </w:pPr>
      <w:rPr>
        <w:rFonts w:hint="default"/>
        <w:spacing w:val="0"/>
        <w:w w:val="100"/>
        <w:lang w:val="en-US" w:eastAsia="en-US" w:bidi="ar-SA"/>
      </w:rPr>
    </w:lvl>
    <w:lvl w:ilvl="2">
      <w:start w:val="1"/>
      <w:numFmt w:val="decimal"/>
      <w:lvlText w:val="%1.%2.%3"/>
      <w:lvlJc w:val="left"/>
      <w:pPr>
        <w:ind w:left="1363" w:hanging="361"/>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bullet"/>
      <w:lvlText w:val="•"/>
      <w:lvlJc w:val="left"/>
      <w:pPr>
        <w:ind w:left="1180" w:hanging="361"/>
      </w:pPr>
      <w:rPr>
        <w:rFonts w:hint="default"/>
        <w:lang w:val="en-US" w:eastAsia="en-US" w:bidi="ar-SA"/>
      </w:rPr>
    </w:lvl>
    <w:lvl w:ilvl="4">
      <w:start w:val="1"/>
      <w:numFmt w:val="bullet"/>
      <w:lvlText w:val="•"/>
      <w:lvlJc w:val="left"/>
      <w:pPr>
        <w:ind w:left="1360" w:hanging="361"/>
      </w:pPr>
      <w:rPr>
        <w:rFonts w:hint="default"/>
        <w:lang w:val="en-US" w:eastAsia="en-US" w:bidi="ar-SA"/>
      </w:rPr>
    </w:lvl>
    <w:lvl w:ilvl="5">
      <w:start w:val="1"/>
      <w:numFmt w:val="bullet"/>
      <w:lvlText w:val="•"/>
      <w:lvlJc w:val="left"/>
      <w:pPr>
        <w:ind w:left="2900" w:hanging="361"/>
      </w:pPr>
      <w:rPr>
        <w:rFonts w:hint="default"/>
        <w:lang w:val="en-US" w:eastAsia="en-US" w:bidi="ar-SA"/>
      </w:rPr>
    </w:lvl>
    <w:lvl w:ilvl="6">
      <w:start w:val="1"/>
      <w:numFmt w:val="bullet"/>
      <w:lvlText w:val="•"/>
      <w:lvlJc w:val="left"/>
      <w:pPr>
        <w:ind w:left="4440" w:hanging="361"/>
      </w:pPr>
      <w:rPr>
        <w:rFonts w:hint="default"/>
        <w:lang w:val="en-US" w:eastAsia="en-US" w:bidi="ar-SA"/>
      </w:rPr>
    </w:lvl>
    <w:lvl w:ilvl="7">
      <w:start w:val="1"/>
      <w:numFmt w:val="bullet"/>
      <w:lvlText w:val="•"/>
      <w:lvlJc w:val="left"/>
      <w:pPr>
        <w:ind w:left="5980" w:hanging="361"/>
      </w:pPr>
      <w:rPr>
        <w:rFonts w:hint="default"/>
        <w:lang w:val="en-US" w:eastAsia="en-US" w:bidi="ar-SA"/>
      </w:rPr>
    </w:lvl>
    <w:lvl w:ilvl="8">
      <w:start w:val="1"/>
      <w:numFmt w:val="bullet"/>
      <w:lvlText w:val="•"/>
      <w:lvlJc w:val="left"/>
      <w:pPr>
        <w:ind w:left="7520" w:hanging="361"/>
      </w:pPr>
      <w:rPr>
        <w:rFonts w:hint="default"/>
        <w:lang w:val="en-US" w:eastAsia="en-US" w:bidi="ar-SA"/>
      </w:rPr>
    </w:lvl>
  </w:abstractNum>
  <w:num w:numId="1" w16cid:durableId="1611232638">
    <w:abstractNumId w:val="6"/>
  </w:num>
  <w:num w:numId="2" w16cid:durableId="1725055196">
    <w:abstractNumId w:val="10"/>
  </w:num>
  <w:num w:numId="3" w16cid:durableId="1924139007">
    <w:abstractNumId w:val="8"/>
  </w:num>
  <w:num w:numId="4" w16cid:durableId="1592272136">
    <w:abstractNumId w:val="7"/>
  </w:num>
  <w:num w:numId="5" w16cid:durableId="592663626">
    <w:abstractNumId w:val="9"/>
  </w:num>
  <w:num w:numId="6" w16cid:durableId="1599946286">
    <w:abstractNumId w:val="5"/>
  </w:num>
  <w:num w:numId="7" w16cid:durableId="453409402">
    <w:abstractNumId w:val="11"/>
  </w:num>
  <w:num w:numId="8" w16cid:durableId="718555856">
    <w:abstractNumId w:val="3"/>
  </w:num>
  <w:num w:numId="9" w16cid:durableId="1326664526">
    <w:abstractNumId w:val="0"/>
  </w:num>
  <w:num w:numId="10" w16cid:durableId="1636638056">
    <w:abstractNumId w:val="1"/>
  </w:num>
  <w:num w:numId="11" w16cid:durableId="1446542445">
    <w:abstractNumId w:val="4"/>
  </w:num>
  <w:num w:numId="12" w16cid:durableId="1904174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AE"/>
    <w:rsid w:val="00066007"/>
    <w:rsid w:val="00076670"/>
    <w:rsid w:val="000E71B6"/>
    <w:rsid w:val="00126D19"/>
    <w:rsid w:val="002B7C76"/>
    <w:rsid w:val="0044618B"/>
    <w:rsid w:val="00564161"/>
    <w:rsid w:val="00927AC7"/>
    <w:rsid w:val="00BC6B26"/>
    <w:rsid w:val="00D460AE"/>
    <w:rsid w:val="00EC2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73327"/>
  <w15:docId w15:val="{330EA61C-CD42-4146-B77A-5A4A16D7F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200" w:after="0"/>
      <w:outlineLvl w:val="1"/>
    </w:pPr>
    <w:rPr>
      <w:rFonts w:ascii="Cambria" w:eastAsia="SimSun" w:hAnsi="Cambria"/>
      <w:b/>
      <w:bCs/>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mbria" w:eastAsia="SimSun" w:hAnsi="Cambria"/>
      <w:b/>
      <w:bCs/>
      <w:color w:val="4F81BD"/>
    </w:rPr>
  </w:style>
  <w:style w:type="paragraph" w:styleId="Heading4">
    <w:name w:val="heading 4"/>
    <w:basedOn w:val="Normal"/>
    <w:link w:val="Heading4Char"/>
    <w:uiPriority w:val="9"/>
    <w:unhideWhenUsed/>
    <w:qFormat/>
    <w:pPr>
      <w:widowControl w:val="0"/>
      <w:autoSpaceDE w:val="0"/>
      <w:autoSpaceDN w:val="0"/>
      <w:spacing w:after="0" w:line="240" w:lineRule="auto"/>
      <w:ind w:left="1001"/>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unhideWhenUsed/>
    <w:qFormat/>
    <w:pPr>
      <w:keepNext/>
      <w:keepLines/>
      <w:spacing w:before="200" w:after="0"/>
      <w:outlineLvl w:val="4"/>
    </w:pPr>
    <w:rPr>
      <w:rFonts w:ascii="Cambria" w:eastAsia="SimSu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Cambria" w:eastAsia="SimSun" w:hAnsi="Cambria" w:cs="SimSun"/>
      <w:b/>
      <w:bCs/>
      <w:color w:val="4F81BD"/>
      <w:sz w:val="26"/>
      <w:szCs w:val="26"/>
    </w:rPr>
  </w:style>
  <w:style w:type="character" w:customStyle="1" w:styleId="Heading3Char">
    <w:name w:val="Heading 3 Char"/>
    <w:basedOn w:val="DefaultParagraphFont"/>
    <w:link w:val="Heading3"/>
    <w:uiPriority w:val="9"/>
    <w:rPr>
      <w:rFonts w:ascii="Cambria" w:eastAsia="SimSun" w:hAnsi="Cambria" w:cs="SimSun"/>
      <w:b/>
      <w:bCs/>
      <w:color w:val="4F81BD"/>
    </w:rPr>
  </w:style>
  <w:style w:type="character" w:customStyle="1" w:styleId="Heading4Char">
    <w:name w:val="Heading 4 Char"/>
    <w:basedOn w:val="DefaultParagraphFont"/>
    <w:link w:val="Heading4"/>
    <w:uiPriority w:val="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Pr>
      <w:rFonts w:ascii="Cambria" w:eastAsia="SimSun" w:hAnsi="Cambria" w:cs="SimSun"/>
      <w:color w:val="243F60"/>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widowControl w:val="0"/>
      <w:autoSpaceDE w:val="0"/>
      <w:autoSpaceDN w:val="0"/>
      <w:spacing w:after="0" w:line="240" w:lineRule="auto"/>
      <w:ind w:left="1099" w:hanging="639"/>
    </w:pPr>
    <w:rPr>
      <w:rFonts w:ascii="Times New Roman" w:eastAsia="Times New Roman" w:hAnsi="Times New Roman" w:cs="Times New Roman"/>
    </w:rPr>
  </w:style>
  <w:style w:type="paragraph" w:styleId="Header">
    <w:name w:val="header"/>
    <w:aliases w:val="h,page-number,Heading, Char,0_Header,Char"/>
    <w:basedOn w:val="Normal"/>
    <w:link w:val="HeaderChar"/>
    <w:uiPriority w:val="99"/>
    <w:qFormat/>
    <w:pPr>
      <w:tabs>
        <w:tab w:val="center" w:pos="4680"/>
        <w:tab w:val="right" w:pos="9360"/>
      </w:tabs>
      <w:spacing w:after="0" w:line="240" w:lineRule="auto"/>
    </w:pPr>
  </w:style>
  <w:style w:type="character" w:customStyle="1" w:styleId="HeaderChar">
    <w:name w:val="Header Char"/>
    <w:aliases w:val="h Char,page-number Char,Heading Char, Char Char,0_Header Char,Char Char"/>
    <w:basedOn w:val="DefaultParagraphFont"/>
    <w:link w:val="Header"/>
    <w:uiPriority w:val="99"/>
    <w:qFormat/>
  </w:style>
  <w:style w:type="paragraph" w:styleId="Footer">
    <w:name w:val="footer"/>
    <w:basedOn w:val="Normal"/>
    <w:link w:val="FooterChar"/>
    <w:uiPriority w:val="99"/>
    <w:qFormat/>
    <w:pPr>
      <w:tabs>
        <w:tab w:val="center" w:pos="4680"/>
        <w:tab w:val="right" w:pos="9360"/>
      </w:tabs>
      <w:spacing w:after="0" w:line="240" w:lineRule="auto"/>
    </w:pPr>
  </w:style>
  <w:style w:type="character" w:customStyle="1" w:styleId="FooterChar">
    <w:name w:val="Footer Char"/>
    <w:basedOn w:val="DefaultParagraphFont"/>
    <w:link w:val="Footer"/>
    <w:uiPriority w:val="99"/>
    <w:qFormat/>
  </w:style>
  <w:style w:type="paragraph" w:customStyle="1" w:styleId="TableParagraph">
    <w:name w:val="Table Paragraph"/>
    <w:basedOn w:val="Normal"/>
    <w:uiPriority w:val="1"/>
    <w:qFormat/>
    <w:pPr>
      <w:widowControl w:val="0"/>
      <w:autoSpaceDE w:val="0"/>
      <w:autoSpaceDN w:val="0"/>
      <w:spacing w:after="0" w:line="268" w:lineRule="exact"/>
    </w:pPr>
    <w:rPr>
      <w:rFonts w:ascii="Times New Roman" w:eastAsia="Times New Roman" w:hAnsi="Times New Roman" w:cs="Times New Roma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table" w:styleId="TableGrid">
    <w:name w:val="Table Grid"/>
    <w:basedOn w:val="Table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000FF"/>
      <w:u w:val="single"/>
    </w:rPr>
  </w:style>
  <w:style w:type="character" w:customStyle="1" w:styleId="ListParagraphChar">
    <w:name w:val="List Paragraph Char"/>
    <w:basedOn w:val="DefaultParagraphFont"/>
    <w:link w:val="ListParagraph"/>
    <w:uiPriority w:val="34"/>
    <w:rsid w:val="0007667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png"/><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jchr.org/" TargetMode="External"/><Relationship Id="rId1" Type="http://schemas.openxmlformats.org/officeDocument/2006/relationships/hyperlink" Target="http://www.jch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28145-3720-4331-847A-808814E5A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11615</Words>
  <Characters>66209</Characters>
  <Application>Microsoft Office Word</Application>
  <DocSecurity>0</DocSecurity>
  <Lines>551</Lines>
  <Paragraphs>155</Paragraphs>
  <ScaleCrop>false</ScaleCrop>
  <Company/>
  <LinksUpToDate>false</LinksUpToDate>
  <CharactersWithSpaces>77669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Auricle Technology</cp:lastModifiedBy>
  <cp:revision>4</cp:revision>
  <dcterms:created xsi:type="dcterms:W3CDTF">2024-08-20T08:23:00Z</dcterms:created>
  <dcterms:modified xsi:type="dcterms:W3CDTF">2024-09-24T10:27:00Z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a669117a-7a17-3378-a7d8-c8e7c3d820cb</vt:lpwstr>
  </property>
  <property fmtid="{D5CDD505-2E9C-101B-9397-08002B2CF9AE}" pid="4" name="Mendeley Citation Style_1">
    <vt:lpwstr>http://www.zotero.org/styles/chicago-author-date</vt:lpwstr>
  </property>
  <property fmtid="{D5CDD505-2E9C-101B-9397-08002B2CF9AE}" pid="5" name="ICV">
    <vt:lpwstr>f58eda05be384496b3274383a4692c40</vt:lpwstr>
  </property>
</Properties>
</file>